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A47" w:rsidRPr="00607A47" w:rsidRDefault="00607A47" w:rsidP="00607A47">
      <w:pPr>
        <w:pStyle w:val="Heading1"/>
        <w:spacing w:before="0"/>
        <w:jc w:val="center"/>
        <w:rPr>
          <w:rFonts w:ascii="Georgia" w:hAnsi="Georgia"/>
          <w:color w:val="auto"/>
          <w:sz w:val="24"/>
          <w:u w:val="single"/>
        </w:rPr>
      </w:pPr>
      <w:r>
        <w:rPr>
          <w:rFonts w:ascii="Georgia" w:hAnsi="Georgia"/>
          <w:color w:val="auto"/>
          <w:sz w:val="24"/>
          <w:u w:val="single"/>
        </w:rPr>
        <w:t>NC Shell</w:t>
      </w:r>
    </w:p>
    <w:p w:rsidR="00C17AEC" w:rsidRPr="00776C78" w:rsidRDefault="00776C78" w:rsidP="007C5A63">
      <w:pPr>
        <w:ind w:right="-1"/>
      </w:pPr>
      <w:r w:rsidRPr="00776C78">
        <w:t>A. Interpretation – aff must defend the implementati</w:t>
      </w:r>
      <w:r>
        <w:t>on of a federal reentry program for prisoners.</w:t>
      </w:r>
    </w:p>
    <w:p w:rsidR="00776C78" w:rsidRDefault="00776C78" w:rsidP="007C5A63">
      <w:pPr>
        <w:ind w:right="-1"/>
      </w:pPr>
    </w:p>
    <w:p w:rsidR="00776C78" w:rsidRDefault="00776C78" w:rsidP="007C5A63">
      <w:pPr>
        <w:ind w:right="-1"/>
      </w:pPr>
      <w:r>
        <w:t>B. He</w:t>
      </w:r>
      <w:r w:rsidR="003F6ECA">
        <w:t>/she</w:t>
      </w:r>
      <w:r>
        <w:t xml:space="preserve"> doesn’t.</w:t>
      </w:r>
    </w:p>
    <w:p w:rsidR="00776C78" w:rsidRDefault="00776C78" w:rsidP="007C5A63">
      <w:pPr>
        <w:ind w:right="-1"/>
      </w:pPr>
    </w:p>
    <w:p w:rsidR="00776C78" w:rsidRDefault="00776C78" w:rsidP="007C5A63">
      <w:pPr>
        <w:ind w:right="-1"/>
      </w:pPr>
      <w:r>
        <w:t>C. Standards</w:t>
      </w:r>
    </w:p>
    <w:p w:rsidR="00776C78" w:rsidRDefault="00776C78" w:rsidP="007C5A63">
      <w:pPr>
        <w:ind w:right="-1"/>
      </w:pPr>
      <w:r>
        <w:t>First is Textuality</w:t>
      </w:r>
      <w:r w:rsidR="008B2A64">
        <w:t>. T</w:t>
      </w:r>
      <w:r w:rsidR="008B2A64" w:rsidRPr="002403B4">
        <w:t xml:space="preserve">extuality is a prima facie voter for the neg. It doesn’t matter how fair </w:t>
      </w:r>
      <w:r w:rsidR="008B2A64">
        <w:t>the aff</w:t>
      </w:r>
      <w:r w:rsidR="008B2A64" w:rsidRPr="002403B4">
        <w:t xml:space="preserve"> is; if </w:t>
      </w:r>
      <w:r w:rsidR="008B2A64">
        <w:t>the case doesn’t affirm</w:t>
      </w:r>
      <w:r w:rsidR="008B2A64" w:rsidRPr="002403B4">
        <w:t xml:space="preserve"> the topic, then he hasn’t met the aff burden. Also, textuality link turns other theory standards because it is the basis for claims to predictability and ground. Aff isn’t textual, </w:t>
      </w:r>
      <w:r w:rsidR="008B2A64">
        <w:t xml:space="preserve">four </w:t>
      </w:r>
      <w:r w:rsidR="008B2A64" w:rsidRPr="002403B4">
        <w:t>reasons:</w:t>
      </w:r>
    </w:p>
    <w:p w:rsidR="003E66AF" w:rsidRDefault="003E66AF" w:rsidP="007C5A63">
      <w:pPr>
        <w:ind w:right="-1"/>
      </w:pPr>
    </w:p>
    <w:p w:rsidR="003E66AF" w:rsidRPr="00D0511E" w:rsidRDefault="003E66AF" w:rsidP="003E66AF">
      <w:r>
        <w:t xml:space="preserve">1. </w:t>
      </w:r>
      <w:r w:rsidR="003F6ECA">
        <w:t>Aff</w:t>
      </w:r>
      <w:r w:rsidRPr="00D0511E">
        <w:t xml:space="preserve"> violates the word “Resolved.” “Resolved” </w:t>
      </w:r>
      <w:r>
        <w:t>requires the aff to enact a law.</w:t>
      </w:r>
    </w:p>
    <w:p w:rsidR="003E66AF" w:rsidRPr="00D0511E" w:rsidRDefault="003E66AF" w:rsidP="00607A47">
      <w:r w:rsidRPr="00607A47">
        <w:rPr>
          <w:b/>
          <w:u w:val="single"/>
        </w:rPr>
        <w:t>Words and Phrases 64</w:t>
      </w:r>
      <w:r w:rsidRPr="00607A47">
        <w:rPr>
          <w:b/>
        </w:rPr>
        <w:t xml:space="preserve"> </w:t>
      </w:r>
      <w:r w:rsidRPr="00D0511E">
        <w:t>writes</w:t>
      </w:r>
      <w:r w:rsidRPr="00D0511E">
        <w:rPr>
          <w:vertAlign w:val="superscript"/>
        </w:rPr>
        <w:footnoteReference w:id="1"/>
      </w:r>
    </w:p>
    <w:p w:rsidR="003E66AF" w:rsidRPr="00D0511E" w:rsidRDefault="003E66AF" w:rsidP="003E66AF">
      <w:pPr>
        <w:pBdr>
          <w:top w:val="single" w:sz="4" w:space="4" w:color="auto"/>
          <w:left w:val="single" w:sz="4" w:space="4" w:color="auto"/>
          <w:bottom w:val="single" w:sz="4" w:space="4" w:color="auto"/>
          <w:right w:val="single" w:sz="4" w:space="4" w:color="auto"/>
        </w:pBdr>
      </w:pPr>
      <w:r w:rsidRPr="00D0511E">
        <w:rPr>
          <w:b/>
          <w:u w:val="single"/>
        </w:rPr>
        <w:t>Definition of</w:t>
      </w:r>
      <w:r w:rsidRPr="00D0511E">
        <w:rPr>
          <w:sz w:val="12"/>
        </w:rPr>
        <w:t xml:space="preserve"> </w:t>
      </w:r>
      <w:r w:rsidRPr="00D0511E">
        <w:rPr>
          <w:color w:val="A6A6A6" w:themeColor="background1" w:themeShade="A6"/>
          <w:sz w:val="12"/>
        </w:rPr>
        <w:t>the word</w:t>
      </w:r>
      <w:r w:rsidRPr="00D0511E">
        <w:rPr>
          <w:sz w:val="12"/>
        </w:rPr>
        <w:t xml:space="preserve"> </w:t>
      </w:r>
      <w:r w:rsidRPr="00D0511E">
        <w:rPr>
          <w:b/>
          <w:u w:val="single"/>
        </w:rPr>
        <w:t>“resolve,”</w:t>
      </w:r>
      <w:r w:rsidRPr="00D0511E">
        <w:rPr>
          <w:color w:val="A6A6A6" w:themeColor="background1" w:themeShade="A6"/>
          <w:sz w:val="12"/>
          <w:szCs w:val="12"/>
        </w:rPr>
        <w:t xml:space="preserve"> given by Webster is “to express an opinion or determination by resolution or vote; as ‘it was resolved by the legislature;” It</w:t>
      </w:r>
      <w:r w:rsidRPr="00D0511E">
        <w:rPr>
          <w:sz w:val="12"/>
          <w:szCs w:val="12"/>
        </w:rPr>
        <w:t xml:space="preserve"> </w:t>
      </w:r>
      <w:r w:rsidRPr="00D0511E">
        <w:rPr>
          <w:b/>
          <w:u w:val="single"/>
        </w:rPr>
        <w:t>is</w:t>
      </w:r>
      <w:r w:rsidRPr="00D0511E">
        <w:rPr>
          <w:sz w:val="12"/>
        </w:rPr>
        <w:t xml:space="preserve"> </w:t>
      </w:r>
      <w:r w:rsidRPr="00D0511E">
        <w:rPr>
          <w:color w:val="A6A6A6" w:themeColor="background1" w:themeShade="A6"/>
          <w:sz w:val="12"/>
        </w:rPr>
        <w:t>of</w:t>
      </w:r>
      <w:r w:rsidRPr="00D0511E">
        <w:rPr>
          <w:sz w:val="12"/>
        </w:rPr>
        <w:t xml:space="preserve"> </w:t>
      </w:r>
      <w:r w:rsidRPr="00D0511E">
        <w:rPr>
          <w:b/>
          <w:u w:val="single"/>
        </w:rPr>
        <w:t>similar</w:t>
      </w:r>
      <w:r w:rsidRPr="00D0511E">
        <w:rPr>
          <w:sz w:val="12"/>
        </w:rPr>
        <w:t xml:space="preserve"> </w:t>
      </w:r>
      <w:r w:rsidRPr="00D0511E">
        <w:rPr>
          <w:color w:val="A6A6A6" w:themeColor="background1" w:themeShade="A6"/>
          <w:sz w:val="12"/>
        </w:rPr>
        <w:t>force</w:t>
      </w:r>
      <w:r w:rsidRPr="00D0511E">
        <w:rPr>
          <w:sz w:val="12"/>
        </w:rPr>
        <w:t xml:space="preserve"> </w:t>
      </w:r>
      <w:r w:rsidRPr="00D0511E">
        <w:rPr>
          <w:b/>
          <w:u w:val="single"/>
        </w:rPr>
        <w:t>to the word “enact,”</w:t>
      </w:r>
      <w:r w:rsidRPr="00D0511E">
        <w:rPr>
          <w:color w:val="A6A6A6" w:themeColor="background1" w:themeShade="A6"/>
          <w:sz w:val="12"/>
        </w:rPr>
        <w:t xml:space="preserve"> which is defined by Bouvier as</w:t>
      </w:r>
      <w:r w:rsidRPr="00D0511E">
        <w:rPr>
          <w:sz w:val="12"/>
        </w:rPr>
        <w:t xml:space="preserve"> </w:t>
      </w:r>
      <w:r w:rsidRPr="00D0511E">
        <w:rPr>
          <w:b/>
          <w:u w:val="single"/>
        </w:rPr>
        <w:t>meaning “to establish by law”.</w:t>
      </w:r>
    </w:p>
    <w:p w:rsidR="003E66AF" w:rsidRDefault="003E66AF" w:rsidP="007C5A63">
      <w:pPr>
        <w:ind w:right="-1"/>
      </w:pPr>
    </w:p>
    <w:p w:rsidR="00776C78" w:rsidRDefault="003E66AF" w:rsidP="00776C78">
      <w:r>
        <w:t>2</w:t>
      </w:r>
      <w:r w:rsidR="00776C78">
        <w:t xml:space="preserve">. Rehab means reentry programs. This definition is key to limits. Here’s a caselist. </w:t>
      </w:r>
      <w:r w:rsidR="00776C78">
        <w:rPr>
          <w:b/>
          <w:u w:val="single"/>
        </w:rPr>
        <w:t>Nielson 11</w:t>
      </w:r>
      <w:r w:rsidR="00776C78">
        <w:t xml:space="preserve"> writes</w:t>
      </w:r>
      <w:r w:rsidR="00776C78">
        <w:rPr>
          <w:rStyle w:val="FootnoteReference"/>
        </w:rPr>
        <w:footnoteReference w:id="2"/>
      </w:r>
    </w:p>
    <w:p w:rsidR="00776C78" w:rsidRDefault="00776C78" w:rsidP="00776C78">
      <w:pPr>
        <w:rPr>
          <w:color w:val="A6A6A6" w:themeColor="background1" w:themeShade="A6"/>
          <w:sz w:val="12"/>
        </w:rPr>
      </w:pPr>
    </w:p>
    <w:p w:rsidR="00776C78" w:rsidRPr="009B5A53" w:rsidRDefault="00776C78" w:rsidP="00776C78">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Katzenbach, 2006). Rehabilitation is a critical to overcome the collateral consequences of being a convict which limit the convicted individuals social, economic, and political opportunities after release (Pinard,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(Muhlhausen,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776C78" w:rsidRPr="00FF6F03"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9B5A53" w:rsidRDefault="00776C78" w:rsidP="00776C78">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776C78" w:rsidRPr="00FF6F03"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9B5A53" w:rsidRDefault="00776C78" w:rsidP="00776C78">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and increase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disadvantage. In fact, there is a direct correlation between a lack of education and the probability of incarceration" (Colgan, 2006). Leaving prison with that same education deficiency has been linked to recidivism; in contrast, educational programs are linked with lowering recidivism (Colgan, 2006). Basic education, vocational programs, &amp; post-secondary education are all possible affirmatives on a prison reform topic (Nixon et al, 2008). Affirmatives </w:t>
      </w:r>
      <w:r w:rsidRPr="003D1BE4">
        <w:rPr>
          <w:color w:val="A6A6A6" w:themeColor="background1" w:themeShade="A6"/>
          <w:sz w:val="12"/>
        </w:rPr>
        <w:t>may mandate vocational programs offering particular career training to fill holes in the economy (Colgan, 2006). Affirmatives could reform the fees system used by education programs which would encourage enrollment in education programs. Affirmatives could provide incentives for community colleges to offer programs for prisoners to help with applications, necessary testing, and financial aid.</w:t>
      </w:r>
      <w:r w:rsidRPr="00765451">
        <w:rPr>
          <w:color w:val="A6A6A6" w:themeColor="background1" w:themeShade="A6"/>
          <w:sz w:val="12"/>
        </w:rPr>
        <w:t xml:space="preserve"> </w:t>
      </w: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xml:space="preserve">.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(Nuñez-Neto, 2008). Without income offenders are likely to commit another crime as a means of support (Burt, 2010). "Employment is one of the strongest predictors that an ex-offender will be successful after release and not backslide into crime" (Nuñez-Neto,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(Colgan, 2006). The federal government could also create temporary job programs for ex-prisoners (Burt, 2010). </w:t>
      </w: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9B5A53" w:rsidRDefault="00776C78" w:rsidP="00776C78">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(Colgan, 2006). Roughly 80% of prisoners report drug use in their history, even if not at the time of the crime (Colgan,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(Dolovich, 2009). There are facilities with four or five thousand prisoners and only three or four doctors and some physicians are limited to work in correctional facilities because they are not qualified to care for the general population (Gibbon &amp; Katzenbach, 2006). Courts have held that inmates have the right to health care, but the quality of the care is still up for debate (Quinn, 2009). 30 states have some form of co-payments for health care required of inmates which discourages prisoners from seeking treatment (Quinn, 2009; Gibbon &amp; Katzenbach, 2006). The Commission on Safety and Abuse in America's Prisons recommends co-pay laws be revoked and Medicaid and Medicare be extended to eligible prisoners (Gibbon &amp; Katzenbach,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(Colgan,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(Colgan,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(Colgan,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children have parents in the DOC (Colgan,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(Lyles-Chockley, 2009). Parents strain to reconnect with their children and children can go through serious trauma as parents reenter their lives; neither have had a chance to build a relationship during incarceration (Lyles-Chockley, 2009). The racial disparities in incarceration rates have a devastating impact on communities practically dissolving important social networks, particularly in black families (Lyles-Chockley, 2009). There will be affirmatives providing services for prisoners to interact with their children (Colgan, 2006). </w:t>
      </w:r>
    </w:p>
    <w:p w:rsidR="00776C78" w:rsidRPr="00765451" w:rsidRDefault="00776C78" w:rsidP="00776C78">
      <w:pPr>
        <w:pBdr>
          <w:top w:val="single" w:sz="4" w:space="1" w:color="auto"/>
          <w:left w:val="single" w:sz="4" w:space="1" w:color="auto"/>
          <w:bottom w:val="single" w:sz="4" w:space="1" w:color="auto"/>
          <w:right w:val="single" w:sz="4" w:space="1" w:color="auto"/>
        </w:pBdr>
        <w:rPr>
          <w:color w:val="A6A6A6" w:themeColor="background1" w:themeShade="A6"/>
          <w:sz w:val="12"/>
        </w:rPr>
      </w:pPr>
    </w:p>
    <w:p w:rsidR="00776C78" w:rsidRDefault="00776C78" w:rsidP="00776C78">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(Colgan, 2006). Several states (Tennessee, Hawaii, &amp; New York) have comprehensive programs that could be modeled on a federal level (Colgan,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(Colgan, 2006). In general, access to social services which some are explicitly denied would help convicts overcome significant obstacles to reentry.</w:t>
      </w:r>
    </w:p>
    <w:p w:rsidR="00BA1F50" w:rsidRDefault="00BA1F50" w:rsidP="007C5A63">
      <w:pPr>
        <w:ind w:right="-1"/>
      </w:pPr>
    </w:p>
    <w:p w:rsidR="003E66AF" w:rsidRDefault="003E66AF" w:rsidP="003E66AF">
      <w:r>
        <w:t xml:space="preserve">3. He violates the word “ought.” “Ought” can only refer to action, even when used in the context of “ought to be.” </w:t>
      </w:r>
      <w:r w:rsidRPr="00FD3F65">
        <w:rPr>
          <w:b/>
          <w:u w:val="single"/>
        </w:rPr>
        <w:t>Prichard 12</w:t>
      </w:r>
      <w:r>
        <w:t xml:space="preserve"> writes</w:t>
      </w:r>
      <w:r>
        <w:rPr>
          <w:rStyle w:val="FootnoteReference"/>
        </w:rPr>
        <w:footnoteReference w:id="3"/>
      </w:r>
    </w:p>
    <w:p w:rsidR="003E66AF" w:rsidRPr="00FD3F65" w:rsidRDefault="003E66AF" w:rsidP="003E66AF">
      <w:pPr>
        <w:rPr>
          <w:sz w:val="10"/>
        </w:rPr>
      </w:pPr>
    </w:p>
    <w:p w:rsidR="003E66AF" w:rsidRPr="00466BF3" w:rsidRDefault="003E66AF" w:rsidP="003E66AF">
      <w:pPr>
        <w:pBdr>
          <w:top w:val="single" w:sz="4" w:space="1" w:color="auto"/>
          <w:left w:val="single" w:sz="4" w:space="4" w:color="auto"/>
          <w:bottom w:val="single" w:sz="4" w:space="1" w:color="auto"/>
          <w:right w:val="single" w:sz="4" w:space="4" w:color="auto"/>
        </w:pBdr>
        <w:rPr>
          <w:b/>
          <w:u w:val="single"/>
        </w:rPr>
      </w:pPr>
      <w:r w:rsidRPr="00466BF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466BF3">
          <w:rPr>
            <w:rStyle w:val="Hyperlink"/>
            <w:color w:val="A6A6A6" w:themeColor="background1" w:themeShade="A6"/>
            <w:sz w:val="12"/>
          </w:rPr>
          <w:t>1</w:t>
        </w:r>
      </w:hyperlink>
      <w:r w:rsidRPr="00466BF3">
        <w:rPr>
          <w:color w:val="A6A6A6" w:themeColor="background1" w:themeShade="A6"/>
          <w:sz w:val="12"/>
        </w:rPr>
        <w:t> </w:t>
      </w:r>
      <w:r w:rsidRPr="00466BF3">
        <w:rPr>
          <w:b/>
          <w:u w:val="single"/>
        </w:rPr>
        <w:t>The word "ought" refers to actions and to actions alone.</w:t>
      </w:r>
      <w:r w:rsidRPr="00466BF3">
        <w:rPr>
          <w:color w:val="A6A6A6" w:themeColor="background1" w:themeShade="A6"/>
          <w:sz w:val="12"/>
        </w:rPr>
        <w:t xml:space="preserve"> The proper language is never "So and so ought to be," but "I ought to do so and so." </w:t>
      </w:r>
      <w:r w:rsidRPr="00466BF3">
        <w:rPr>
          <w:b/>
          <w:u w:val="single"/>
        </w:rPr>
        <w:t>Even if we</w:t>
      </w:r>
      <w:r w:rsidRPr="00466BF3">
        <w:rPr>
          <w:color w:val="A6A6A6" w:themeColor="background1" w:themeShade="A6"/>
          <w:sz w:val="12"/>
        </w:rPr>
        <w:t xml:space="preserve"> are sometimes moved to </w:t>
      </w:r>
      <w:r w:rsidRPr="00466BF3">
        <w:rPr>
          <w:b/>
          <w:u w:val="single"/>
        </w:rPr>
        <w:t>say</w:t>
      </w:r>
      <w:r w:rsidRPr="00466BF3">
        <w:rPr>
          <w:color w:val="A6A6A6" w:themeColor="background1" w:themeShade="A6"/>
          <w:sz w:val="12"/>
        </w:rPr>
        <w:t xml:space="preserve"> that the world or </w:t>
      </w:r>
      <w:r w:rsidRPr="00466BF3">
        <w:rPr>
          <w:b/>
          <w:u w:val="single"/>
        </w:rPr>
        <w:t>somethin</w:t>
      </w:r>
      <w:r w:rsidRPr="00FD3F65">
        <w:rPr>
          <w:b/>
          <w:u w:val="single"/>
        </w:rPr>
        <w:t>g</w:t>
      </w:r>
      <w:r w:rsidRPr="00466BF3">
        <w:rPr>
          <w:color w:val="A6A6A6" w:themeColor="background1" w:themeShade="A6"/>
          <w:sz w:val="12"/>
        </w:rPr>
        <w:t xml:space="preserve"> in it </w:t>
      </w:r>
      <w:r w:rsidRPr="00466BF3">
        <w:rPr>
          <w:b/>
          <w:u w:val="single"/>
        </w:rPr>
        <w:t>is not what it ought to be, what we really mean is that</w:t>
      </w:r>
      <w:r w:rsidRPr="00466BF3">
        <w:rPr>
          <w:color w:val="A6A6A6" w:themeColor="background1" w:themeShade="A6"/>
          <w:sz w:val="12"/>
        </w:rPr>
        <w:t xml:space="preserve"> God or </w:t>
      </w:r>
      <w:r w:rsidRPr="00466BF3">
        <w:rPr>
          <w:b/>
          <w:u w:val="single"/>
        </w:rPr>
        <w:t>som</w:t>
      </w:r>
      <w:r>
        <w:rPr>
          <w:b/>
          <w:u w:val="single"/>
        </w:rPr>
        <w:t>e human</w:t>
      </w:r>
      <w:r w:rsidRPr="00FD3F65">
        <w:rPr>
          <w:color w:val="A6A6A6" w:themeColor="background1" w:themeShade="A6"/>
          <w:sz w:val="12"/>
        </w:rPr>
        <w:t xml:space="preserve"> being </w:t>
      </w:r>
      <w:r>
        <w:rPr>
          <w:b/>
          <w:u w:val="single"/>
        </w:rPr>
        <w:t>has not made some</w:t>
      </w:r>
      <w:r w:rsidRPr="00466BF3">
        <w:rPr>
          <w:b/>
          <w:u w:val="single"/>
        </w:rPr>
        <w:t>thing what he</w:t>
      </w:r>
      <w:r>
        <w:rPr>
          <w:b/>
          <w:u w:val="single"/>
        </w:rPr>
        <w:t xml:space="preserve"> [or she]</w:t>
      </w:r>
      <w:r w:rsidRPr="00466BF3">
        <w:rPr>
          <w:b/>
          <w:u w:val="single"/>
        </w:rPr>
        <w:t xml:space="preserve"> ought to have made it.</w:t>
      </w:r>
      <w:r w:rsidRPr="00FD3F65">
        <w:rPr>
          <w:color w:val="A6A6A6" w:themeColor="background1" w:themeShade="A6"/>
          <w:sz w:val="12"/>
        </w:rPr>
        <w:t xml:space="preserve"> And it is merely stating another side of this fact to urge that </w:t>
      </w:r>
      <w:r w:rsidRPr="00466BF3">
        <w:rPr>
          <w:b/>
          <w:u w:val="single"/>
        </w:rPr>
        <w:t>we can only feel the imperativeness</w:t>
      </w:r>
      <w:r w:rsidRPr="00FD3F65">
        <w:rPr>
          <w:color w:val="A6A6A6" w:themeColor="background1" w:themeShade="A6"/>
          <w:sz w:val="12"/>
        </w:rPr>
        <w:t xml:space="preserve"> upon us </w:t>
      </w:r>
      <w:r w:rsidRPr="00466BF3">
        <w:rPr>
          <w:b/>
          <w:u w:val="single"/>
        </w:rPr>
        <w:t>of something which is in our power; for</w:t>
      </w:r>
      <w:r w:rsidRPr="00FD3F65">
        <w:rPr>
          <w:color w:val="A6A6A6" w:themeColor="background1" w:themeShade="A6"/>
          <w:sz w:val="12"/>
        </w:rPr>
        <w:t xml:space="preserve"> it is </w:t>
      </w:r>
      <w:r w:rsidRPr="00466BF3">
        <w:rPr>
          <w:b/>
          <w:u w:val="single"/>
        </w:rPr>
        <w:t>actions and actions alone</w:t>
      </w:r>
      <w:r w:rsidRPr="00FD3F65">
        <w:rPr>
          <w:color w:val="A6A6A6" w:themeColor="background1" w:themeShade="A6"/>
          <w:sz w:val="12"/>
        </w:rPr>
        <w:t xml:space="preserve"> which, directly at least, </w:t>
      </w:r>
      <w:r w:rsidRPr="00466BF3">
        <w:rPr>
          <w:b/>
          <w:u w:val="single"/>
        </w:rPr>
        <w:t>are in our power.</w:t>
      </w:r>
    </w:p>
    <w:p w:rsidR="003E66AF" w:rsidRDefault="003E66AF" w:rsidP="007C5A63">
      <w:pPr>
        <w:ind w:right="-1"/>
      </w:pPr>
    </w:p>
    <w:p w:rsidR="003E66AF" w:rsidRPr="0090035C" w:rsidRDefault="003E66AF" w:rsidP="003E66AF">
      <w:r>
        <w:t xml:space="preserve">4. </w:t>
      </w:r>
      <w:r w:rsidR="003F6ECA">
        <w:t>Aff</w:t>
      </w:r>
      <w:r>
        <w:t xml:space="preserve"> violates the word “value.” Value requires action in the context of criminal justice. </w:t>
      </w:r>
      <w:r w:rsidRPr="0090035C">
        <w:rPr>
          <w:b/>
          <w:u w:val="single"/>
        </w:rPr>
        <w:t>Emmons and Nutt 95</w:t>
      </w:r>
      <w:r>
        <w:t xml:space="preserve"> write</w:t>
      </w:r>
      <w:r>
        <w:rPr>
          <w:rStyle w:val="FootnoteReference"/>
        </w:rPr>
        <w:footnoteReference w:id="4"/>
      </w:r>
    </w:p>
    <w:p w:rsidR="003E66AF" w:rsidRDefault="003E66AF" w:rsidP="003E66AF">
      <w:pPr>
        <w:pBdr>
          <w:top w:val="single" w:sz="4" w:space="1" w:color="auto"/>
          <w:left w:val="single" w:sz="4" w:space="4" w:color="auto"/>
          <w:bottom w:val="single" w:sz="4" w:space="1" w:color="auto"/>
          <w:right w:val="single" w:sz="4" w:space="4" w:color="auto"/>
        </w:pBdr>
        <w:ind w:right="-1"/>
      </w:pPr>
      <w:r w:rsidRPr="003E4117">
        <w:rPr>
          <w:b/>
          <w:u w:val="single"/>
        </w:rPr>
        <w:t>Values express</w:t>
      </w:r>
      <w:r w:rsidRPr="009516F0">
        <w:rPr>
          <w:color w:val="A6A6A6" w:themeColor="background1" w:themeShade="A6"/>
          <w:sz w:val="12"/>
        </w:rPr>
        <w:t xml:space="preserve"> preferable </w:t>
      </w:r>
      <w:r w:rsidRPr="003E4117">
        <w:rPr>
          <w:b/>
          <w:u w:val="single"/>
        </w:rPr>
        <w:t>goals or stat</w:t>
      </w:r>
      <w:r>
        <w:rPr>
          <w:b/>
          <w:u w:val="single"/>
        </w:rPr>
        <w:t>es. They offer standards</w:t>
      </w:r>
      <w:r w:rsidRPr="003E4117">
        <w:rPr>
          <w:color w:val="A6A6A6" w:themeColor="background1" w:themeShade="A6"/>
          <w:sz w:val="12"/>
        </w:rPr>
        <w:t xml:space="preserve"> for selecting worthwhile behavior and provide criteria </w:t>
      </w:r>
      <w:r w:rsidRPr="003E4117">
        <w:rPr>
          <w:b/>
          <w:u w:val="single"/>
        </w:rPr>
        <w:t>for making policy.</w:t>
      </w:r>
      <w:r w:rsidRPr="003E4117">
        <w:rPr>
          <w:color w:val="A6A6A6" w:themeColor="background1" w:themeShade="A6"/>
          <w:sz w:val="12"/>
        </w:rPr>
        <w:t xml:space="preserve"> Indeed, they represent what is most critically at stake for human well-being. </w:t>
      </w:r>
      <w:r w:rsidRPr="003E4117">
        <w:rPr>
          <w:b/>
          <w:u w:val="single"/>
        </w:rPr>
        <w:t>Values</w:t>
      </w:r>
      <w:r>
        <w:rPr>
          <w:b/>
          <w:u w:val="single"/>
        </w:rPr>
        <w:t xml:space="preserve"> </w:t>
      </w:r>
      <w:r w:rsidRPr="003E4117">
        <w:rPr>
          <w:b/>
          <w:u w:val="single"/>
        </w:rPr>
        <w:t>include moral standards</w:t>
      </w:r>
      <w:r w:rsidRPr="003E4117">
        <w:rPr>
          <w:color w:val="A6A6A6" w:themeColor="background1" w:themeShade="A6"/>
          <w:sz w:val="12"/>
        </w:rPr>
        <w:t xml:space="preserve"> of right and wrong </w:t>
      </w:r>
      <w:r>
        <w:rPr>
          <w:b/>
          <w:u w:val="single"/>
        </w:rPr>
        <w:t>but extend beyond</w:t>
      </w:r>
      <w:r w:rsidRPr="003E4117">
        <w:rPr>
          <w:color w:val="A6A6A6" w:themeColor="background1" w:themeShade="A6"/>
          <w:sz w:val="12"/>
        </w:rPr>
        <w:t xml:space="preserve"> those standards </w:t>
      </w:r>
      <w:r w:rsidRPr="003E4117">
        <w:rPr>
          <w:b/>
          <w:u w:val="single"/>
        </w:rPr>
        <w:t>to encompass</w:t>
      </w:r>
      <w:r w:rsidRPr="003E4117">
        <w:rPr>
          <w:color w:val="A6A6A6" w:themeColor="background1" w:themeShade="A6"/>
          <w:sz w:val="12"/>
        </w:rPr>
        <w:t xml:space="preserve"> broader considerations of </w:t>
      </w:r>
      <w:r>
        <w:rPr>
          <w:b/>
          <w:u w:val="single"/>
        </w:rPr>
        <w:t>what is desirable</w:t>
      </w:r>
      <w:r w:rsidRPr="003E4117">
        <w:rPr>
          <w:color w:val="A6A6A6" w:themeColor="background1" w:themeShade="A6"/>
          <w:sz w:val="12"/>
        </w:rPr>
        <w:t xml:space="preserve"> and undesirable. Privacy, freedom, equal opportunity, public order, honesty, free speech and other civil rights, rehabilitation, and community are all values. These and other </w:t>
      </w:r>
      <w:r w:rsidRPr="003E4117">
        <w:rPr>
          <w:b/>
          <w:u w:val="single"/>
        </w:rPr>
        <w:t>values find expression in c</w:t>
      </w:r>
      <w:r>
        <w:rPr>
          <w:b/>
          <w:u w:val="single"/>
        </w:rPr>
        <w:t>riminal justice policy and prac</w:t>
      </w:r>
      <w:r w:rsidRPr="003E4117">
        <w:rPr>
          <w:b/>
          <w:u w:val="single"/>
        </w:rPr>
        <w:t>tice</w:t>
      </w:r>
      <w:r w:rsidRPr="003E4117">
        <w:rPr>
          <w:color w:val="A6A6A6" w:themeColor="background1" w:themeShade="A6"/>
          <w:sz w:val="12"/>
        </w:rPr>
        <w:t xml:space="preserve"> as society struggles to cope with crime, injustice, and disorder. The methods that may be brought to bear on discussing and processing wrong-doers are themselves questionable; this is the central dilemma of criminal justice, especially in the United States, where means are often valued as ends in themselves. </w:t>
      </w:r>
    </w:p>
    <w:p w:rsidR="003E66AF" w:rsidRDefault="003E66AF" w:rsidP="007C5A63">
      <w:pPr>
        <w:ind w:right="-1"/>
      </w:pPr>
    </w:p>
    <w:p w:rsidR="008B2A64" w:rsidRDefault="008B2A64" w:rsidP="007C5A63">
      <w:pPr>
        <w:ind w:right="-1"/>
      </w:pPr>
      <w:r>
        <w:t xml:space="preserve">5. </w:t>
      </w:r>
      <w:r w:rsidR="003F6ECA">
        <w:t>Aff</w:t>
      </w:r>
      <w:r>
        <w:t xml:space="preserve"> violates criminal justice system. The CJS is a system of laws, not values. </w:t>
      </w:r>
    </w:p>
    <w:p w:rsidR="003E66AF" w:rsidRDefault="008B2A64" w:rsidP="007C5A63">
      <w:pPr>
        <w:ind w:right="-1"/>
      </w:pPr>
      <w:r w:rsidRPr="008B2A64">
        <w:rPr>
          <w:b/>
          <w:u w:val="single"/>
        </w:rPr>
        <w:t>BJS no date</w:t>
      </w:r>
      <w:r>
        <w:t xml:space="preserve"> writes</w:t>
      </w:r>
      <w:r>
        <w:rPr>
          <w:rStyle w:val="FootnoteReference"/>
        </w:rPr>
        <w:footnoteReference w:id="5"/>
      </w:r>
    </w:p>
    <w:p w:rsidR="003E66AF" w:rsidRPr="003E66AF" w:rsidRDefault="003E66AF" w:rsidP="003E66AF">
      <w:pPr>
        <w:pBdr>
          <w:top w:val="single" w:sz="4" w:space="1" w:color="auto"/>
          <w:left w:val="single" w:sz="4" w:space="4" w:color="auto"/>
          <w:bottom w:val="single" w:sz="4" w:space="1" w:color="auto"/>
          <w:right w:val="single" w:sz="4" w:space="4" w:color="auto"/>
        </w:pBdr>
        <w:rPr>
          <w:b/>
          <w:u w:val="single"/>
        </w:rPr>
      </w:pPr>
      <w:r w:rsidRPr="003E66AF">
        <w:rPr>
          <w:b/>
          <w:u w:val="single"/>
        </w:rPr>
        <w:t>State constitutions and laws define the criminal justice system</w:t>
      </w:r>
      <w:r w:rsidRPr="003E66AF">
        <w:rPr>
          <w:color w:val="A6A6A6" w:themeColor="background1" w:themeShade="A6"/>
          <w:sz w:val="12"/>
        </w:rPr>
        <w:t xml:space="preserve"> within each State and delegate the authority and responsibility for criminal justice to various jurisdictions, officials, and institutions. State laws also define criminal behavior and groups of children or acts under jurisdiction of the juvenile courts. Municipalities and </w:t>
      </w:r>
      <w:r w:rsidRPr="003E66AF">
        <w:rPr>
          <w:b/>
          <w:u w:val="single"/>
        </w:rPr>
        <w:t xml:space="preserve">counties further define their criminal justice </w:t>
      </w:r>
      <w:r w:rsidRPr="003E66AF">
        <w:rPr>
          <w:b/>
          <w:u w:val="single"/>
        </w:rPr>
        <w:lastRenderedPageBreak/>
        <w:t>systems through local ordinances</w:t>
      </w:r>
      <w:r w:rsidRPr="003E66AF">
        <w:rPr>
          <w:color w:val="A6A6A6" w:themeColor="background1" w:themeShade="A6"/>
          <w:sz w:val="12"/>
        </w:rPr>
        <w:t xml:space="preserve"> that proscribe the local agencies responsible for criminal justice processing that were not established by the State.</w:t>
      </w:r>
    </w:p>
    <w:p w:rsidR="003E66AF" w:rsidRDefault="003E66AF" w:rsidP="003E66AF">
      <w:pPr>
        <w:ind w:right="-1"/>
      </w:pPr>
    </w:p>
    <w:p w:rsidR="00AE727E" w:rsidRDefault="00F5537F" w:rsidP="003E66AF">
      <w:pPr>
        <w:ind w:right="-1"/>
      </w:pPr>
      <w:r>
        <w:t>Second is</w:t>
      </w:r>
      <w:r w:rsidR="00AE727E">
        <w:t xml:space="preserve"> Criminal Justice Education</w:t>
      </w:r>
    </w:p>
    <w:p w:rsidR="00AE727E" w:rsidRDefault="00AE727E" w:rsidP="003E66AF">
      <w:pPr>
        <w:ind w:right="-1"/>
      </w:pPr>
    </w:p>
    <w:p w:rsidR="00AE727E" w:rsidRPr="00A76DB6" w:rsidRDefault="00AE727E" w:rsidP="00AE727E">
      <w:r w:rsidRPr="008C7B8A">
        <w:t>90% of policymaking is</w:t>
      </w:r>
      <w:r>
        <w:t xml:space="preserve"> deciding on</w:t>
      </w:r>
      <w:r w:rsidRPr="008C7B8A">
        <w:t xml:space="preserve"> implementation.</w:t>
      </w:r>
      <w:r>
        <w:t xml:space="preserve"> </w:t>
      </w:r>
      <w:r w:rsidRPr="00A76DB6">
        <w:rPr>
          <w:b/>
          <w:u w:val="single"/>
        </w:rPr>
        <w:t>Elmore 80</w:t>
      </w:r>
      <w:r w:rsidRPr="00A76DB6">
        <w:rPr>
          <w:vertAlign w:val="superscript"/>
        </w:rPr>
        <w:footnoteReference w:id="6"/>
      </w:r>
    </w:p>
    <w:p w:rsidR="00AE727E" w:rsidRPr="00A76DB6" w:rsidRDefault="00AE727E" w:rsidP="00AE727E">
      <w:pPr>
        <w:pBdr>
          <w:top w:val="single" w:sz="4" w:space="4" w:color="auto"/>
          <w:left w:val="single" w:sz="4" w:space="4" w:color="auto"/>
          <w:bottom w:val="single" w:sz="4" w:space="4" w:color="auto"/>
          <w:right w:val="single" w:sz="4" w:space="4" w:color="auto"/>
        </w:pBdr>
      </w:pPr>
      <w:r w:rsidRPr="00A76DB6">
        <w:rPr>
          <w:color w:val="A6A6A6" w:themeColor="background1" w:themeShade="A6"/>
          <w:sz w:val="12"/>
        </w:rPr>
        <w:t>The emergence of implementation as a subject for policy analysis coincides closely with the discovery by</w:t>
      </w:r>
      <w:r w:rsidRPr="00A76DB6">
        <w:t xml:space="preserve"> </w:t>
      </w:r>
      <w:r w:rsidRPr="00A76DB6">
        <w:rPr>
          <w:b/>
          <w:u w:val="single"/>
        </w:rPr>
        <w:t>policy</w:t>
      </w:r>
      <w:r w:rsidRPr="00A76DB6">
        <w:t xml:space="preserve"> </w:t>
      </w:r>
      <w:r w:rsidRPr="00A76DB6">
        <w:rPr>
          <w:color w:val="A6A6A6" w:themeColor="background1" w:themeShade="A6"/>
          <w:sz w:val="12"/>
        </w:rPr>
        <w:t>analysts that</w:t>
      </w:r>
      <w:r w:rsidRPr="00A76DB6">
        <w:t xml:space="preserve"> </w:t>
      </w:r>
      <w:r w:rsidRPr="00A76DB6">
        <w:rPr>
          <w:b/>
          <w:u w:val="single"/>
        </w:rPr>
        <w:t>decisions are not self-executing.</w:t>
      </w:r>
      <w:r w:rsidRPr="00A76DB6">
        <w:rPr>
          <w:color w:val="A6A6A6" w:themeColor="background1" w:themeShade="A6"/>
          <w:sz w:val="12"/>
        </w:rPr>
        <w:t xml:space="preserve"> Analysis of policy choices matter very little if the mechanism for implementing those choices is poorly understood in answering </w:t>
      </w:r>
      <w:r w:rsidRPr="00A76DB6">
        <w:rPr>
          <w:b/>
          <w:u w:val="single"/>
        </w:rPr>
        <w:t>the</w:t>
      </w:r>
      <w:r w:rsidRPr="00A76DB6">
        <w:rPr>
          <w:color w:val="A6A6A6" w:themeColor="background1" w:themeShade="A6"/>
          <w:sz w:val="12"/>
        </w:rPr>
        <w:t xml:space="preserve"> question, "What </w:t>
      </w:r>
      <w:r w:rsidRPr="00A76DB6">
        <w:rPr>
          <w:b/>
          <w:u w:val="single"/>
        </w:rPr>
        <w:t>percentage of</w:t>
      </w:r>
      <w:r w:rsidRPr="00A76DB6">
        <w:t xml:space="preserve"> </w:t>
      </w:r>
      <w:r w:rsidRPr="00A76DB6">
        <w:rPr>
          <w:color w:val="A6A6A6" w:themeColor="background1" w:themeShade="A6"/>
          <w:sz w:val="12"/>
        </w:rPr>
        <w:t>the</w:t>
      </w:r>
      <w:r w:rsidRPr="00A76DB6">
        <w:t xml:space="preserve"> </w:t>
      </w:r>
      <w:r w:rsidRPr="00A76DB6">
        <w:rPr>
          <w:b/>
          <w:u w:val="single"/>
        </w:rPr>
        <w:t>work</w:t>
      </w:r>
      <w:r w:rsidRPr="00A76DB6">
        <w:rPr>
          <w:color w:val="A6A6A6" w:themeColor="background1" w:themeShade="A6"/>
          <w:sz w:val="12"/>
        </w:rPr>
        <w:t xml:space="preserve"> of achieving a desired governmental action is </w:t>
      </w:r>
      <w:r w:rsidRPr="00A76DB6">
        <w:rPr>
          <w:b/>
          <w:u w:val="single"/>
        </w:rPr>
        <w:t>done when the preferred</w:t>
      </w:r>
      <w:r w:rsidRPr="00A76DB6">
        <w:rPr>
          <w:color w:val="A6A6A6" w:themeColor="background1" w:themeShade="A6"/>
          <w:sz w:val="12"/>
        </w:rPr>
        <w:t xml:space="preserve"> analytic </w:t>
      </w:r>
      <w:r w:rsidRPr="00A76DB6">
        <w:rPr>
          <w:b/>
          <w:u w:val="single"/>
        </w:rPr>
        <w:t>alternative has been identified</w:t>
      </w:r>
      <w:r w:rsidRPr="00A76DB6">
        <w:rPr>
          <w:color w:val="A6A6A6" w:themeColor="background1" w:themeShade="A6"/>
          <w:sz w:val="12"/>
        </w:rPr>
        <w:t xml:space="preserve">?" Allison estimated that in the normal case, it </w:t>
      </w:r>
      <w:r w:rsidRPr="00A76DB6">
        <w:rPr>
          <w:b/>
          <w:u w:val="single"/>
        </w:rPr>
        <w:t>was about 10 percent, leaving the remaining 90 percent in the realm of implementation</w:t>
      </w:r>
      <w:r w:rsidRPr="00A76DB6">
        <w:rPr>
          <w:color w:val="A6A6A6" w:themeColor="background1" w:themeShade="A6"/>
          <w:sz w:val="12"/>
        </w:rPr>
        <w:t>.</w:t>
      </w:r>
    </w:p>
    <w:p w:rsidR="00AE727E" w:rsidRDefault="00AE727E" w:rsidP="00AE727E"/>
    <w:p w:rsidR="00AE727E" w:rsidRPr="0008459E" w:rsidRDefault="00AE727E" w:rsidP="00AE727E">
      <w:r>
        <w:t xml:space="preserve">No risk of a turn. Roleplaying as criminal justice policy-makers is the best method for values education. </w:t>
      </w:r>
      <w:r w:rsidRPr="0090035C">
        <w:rPr>
          <w:b/>
          <w:u w:val="single"/>
        </w:rPr>
        <w:t>Emmons and Nutt 95</w:t>
      </w:r>
      <w:r>
        <w:t xml:space="preserve"> write</w:t>
      </w:r>
      <w:r>
        <w:rPr>
          <w:rStyle w:val="FootnoteReference"/>
        </w:rPr>
        <w:footnoteReference w:id="7"/>
      </w:r>
    </w:p>
    <w:p w:rsidR="00AE727E" w:rsidRPr="00B576A4" w:rsidRDefault="00AE727E" w:rsidP="00AE727E">
      <w:pPr>
        <w:pBdr>
          <w:top w:val="single" w:sz="4" w:space="1" w:color="auto"/>
          <w:left w:val="single" w:sz="4" w:space="4" w:color="auto"/>
          <w:bottom w:val="single" w:sz="4" w:space="1" w:color="auto"/>
          <w:right w:val="single" w:sz="4" w:space="4" w:color="auto"/>
        </w:pBdr>
        <w:rPr>
          <w:b/>
          <w:u w:val="single"/>
        </w:rPr>
      </w:pPr>
      <w:r w:rsidRPr="00B576A4">
        <w:rPr>
          <w:b/>
          <w:u w:val="single"/>
        </w:rPr>
        <w:t>Values education can profit from</w:t>
      </w:r>
      <w:r w:rsidRPr="0055056F">
        <w:rPr>
          <w:color w:val="A6A6A6" w:themeColor="background1" w:themeShade="A6"/>
          <w:sz w:val="12"/>
        </w:rPr>
        <w:t xml:space="preserve"> more structured alternatives to discussion. We especially recommend debates; virtually any important </w:t>
      </w:r>
      <w:r>
        <w:rPr>
          <w:b/>
          <w:u w:val="single"/>
        </w:rPr>
        <w:t>crimi</w:t>
      </w:r>
      <w:r w:rsidRPr="00B576A4">
        <w:rPr>
          <w:b/>
          <w:u w:val="single"/>
        </w:rPr>
        <w:t>nal justice policy</w:t>
      </w:r>
      <w:r w:rsidRPr="0055056F">
        <w:rPr>
          <w:color w:val="A6A6A6" w:themeColor="background1" w:themeShade="A6"/>
          <w:sz w:val="12"/>
        </w:rPr>
        <w:t xml:space="preserve"> or practice can be examined in </w:t>
      </w:r>
      <w:r w:rsidRPr="00B576A4">
        <w:rPr>
          <w:b/>
          <w:u w:val="single"/>
        </w:rPr>
        <w:t>debate</w:t>
      </w:r>
      <w:r w:rsidRPr="0055056F">
        <w:rPr>
          <w:color w:val="A6A6A6" w:themeColor="background1" w:themeShade="A6"/>
          <w:sz w:val="12"/>
        </w:rPr>
        <w:t xml:space="preserve"> format. Debate propositions are often framed as moral assertions. Contrast is often the route to identifying and refining values. Preparation for debate helps to ensure more rigorous scrutiny of issues than does more informal discussion. All of these features </w:t>
      </w:r>
      <w:r w:rsidRPr="00B576A4">
        <w:rPr>
          <w:color w:val="A6A6A6" w:themeColor="background1" w:themeShade="A6"/>
          <w:sz w:val="12"/>
        </w:rPr>
        <w:t xml:space="preserve">recommend debate for values education. "Moral negotiation," a technique described by Rosen and Caplan (1980), avoids the danger in debates of seeing opposing moral views as equally convincing or equally correct. </w:t>
      </w:r>
      <w:r w:rsidRPr="00B576A4">
        <w:rPr>
          <w:b/>
          <w:u w:val="single"/>
        </w:rPr>
        <w:t>Role-playing</w:t>
      </w:r>
      <w:r w:rsidRPr="0055056F">
        <w:rPr>
          <w:color w:val="A6A6A6" w:themeColor="background1" w:themeShade="A6"/>
          <w:sz w:val="12"/>
        </w:rPr>
        <w:t xml:space="preserve"> and simulations also give </w:t>
      </w:r>
      <w:r>
        <w:rPr>
          <w:b/>
          <w:u w:val="single"/>
        </w:rPr>
        <w:t xml:space="preserve">[lets] </w:t>
      </w:r>
      <w:r w:rsidRPr="00B576A4">
        <w:rPr>
          <w:b/>
          <w:u w:val="single"/>
        </w:rPr>
        <w:t>students</w:t>
      </w:r>
      <w:r w:rsidRPr="0055056F">
        <w:rPr>
          <w:color w:val="A6A6A6" w:themeColor="background1" w:themeShade="A6"/>
          <w:sz w:val="12"/>
        </w:rPr>
        <w:t xml:space="preserve"> opportunities to </w:t>
      </w:r>
      <w:r>
        <w:rPr>
          <w:b/>
          <w:u w:val="single"/>
        </w:rPr>
        <w:t>ex</w:t>
      </w:r>
      <w:r w:rsidRPr="00B576A4">
        <w:rPr>
          <w:b/>
          <w:u w:val="single"/>
        </w:rPr>
        <w:t xml:space="preserve">plore the </w:t>
      </w:r>
      <w:r w:rsidRPr="0055056F">
        <w:rPr>
          <w:b/>
          <w:u w:val="single"/>
        </w:rPr>
        <w:t>values and</w:t>
      </w:r>
      <w:r w:rsidRPr="00B576A4">
        <w:rPr>
          <w:color w:val="A6A6A6" w:themeColor="background1" w:themeShade="A6"/>
          <w:sz w:val="12"/>
        </w:rPr>
        <w:t xml:space="preserve"> try on the </w:t>
      </w:r>
      <w:r w:rsidRPr="0055056F">
        <w:rPr>
          <w:b/>
          <w:u w:val="single"/>
        </w:rPr>
        <w:t>moral views of</w:t>
      </w:r>
      <w:r w:rsidRPr="00B576A4">
        <w:rPr>
          <w:b/>
          <w:u w:val="single"/>
        </w:rPr>
        <w:t xml:space="preserve"> criminal justice decision makers wrestling with concrete</w:t>
      </w:r>
      <w:r w:rsidRPr="00B576A4">
        <w:rPr>
          <w:color w:val="A6A6A6" w:themeColor="background1" w:themeShade="A6"/>
          <w:sz w:val="12"/>
        </w:rPr>
        <w:t xml:space="preserve"> problems and </w:t>
      </w:r>
      <w:r>
        <w:rPr>
          <w:b/>
          <w:u w:val="single"/>
        </w:rPr>
        <w:t>policies</w:t>
      </w:r>
      <w:r w:rsidRPr="00B576A4">
        <w:rPr>
          <w:color w:val="A6A6A6" w:themeColor="background1" w:themeShade="A6"/>
          <w:sz w:val="12"/>
        </w:rPr>
        <w:t xml:space="preserve">. A number of decision points in the criminal justice system lend themselves to in-class treatment, </w:t>
      </w:r>
      <w:r w:rsidRPr="00B576A4">
        <w:rPr>
          <w:b/>
          <w:u w:val="single"/>
        </w:rPr>
        <w:t>including</w:t>
      </w:r>
      <w:r w:rsidRPr="00B576A4">
        <w:rPr>
          <w:color w:val="A6A6A6" w:themeColor="background1" w:themeShade="A6"/>
          <w:sz w:val="12"/>
        </w:rPr>
        <w:t xml:space="preserve"> the presentence hearing (recommendations for punishment), the police review board hearing (excessive use of force), a legislative committee hearing (a bill to reinstate the death penalty), the pre-trial hearing (rules of evidence), the criminal trial (the insanity plea, adversarial issues), and the parole hearing (</w:t>
      </w:r>
      <w:r w:rsidRPr="00B576A4">
        <w:rPr>
          <w:b/>
          <w:u w:val="single"/>
        </w:rPr>
        <w:t>rehab</w:t>
      </w:r>
      <w:r w:rsidRPr="00B576A4">
        <w:rPr>
          <w:color w:val="A6A6A6" w:themeColor="background1" w:themeShade="A6"/>
          <w:sz w:val="12"/>
        </w:rPr>
        <w:t xml:space="preserve">ilitation). MATERIALS </w:t>
      </w:r>
      <w:r w:rsidRPr="00B576A4">
        <w:rPr>
          <w:b/>
          <w:u w:val="single"/>
        </w:rPr>
        <w:t>Values do not exist apart from action</w:t>
      </w:r>
      <w:r w:rsidRPr="0055056F">
        <w:rPr>
          <w:b/>
          <w:u w:val="single"/>
        </w:rPr>
        <w:t>,</w:t>
      </w:r>
      <w:r w:rsidRPr="00B576A4">
        <w:rPr>
          <w:color w:val="A6A6A6" w:themeColor="background1" w:themeShade="A6"/>
          <w:sz w:val="12"/>
        </w:rPr>
        <w:t xml:space="preserve"> and normative ethics entail concrete moral choices. Because case studies treat discrete situations and specific problems for action, they are especially well suited for presenting this subject matter. </w:t>
      </w:r>
      <w:r w:rsidRPr="00B576A4">
        <w:rPr>
          <w:b/>
          <w:u w:val="single"/>
        </w:rPr>
        <w:t>Case studies</w:t>
      </w:r>
      <w:r w:rsidRPr="00B576A4">
        <w:rPr>
          <w:color w:val="A6A6A6" w:themeColor="background1" w:themeShade="A6"/>
          <w:sz w:val="12"/>
        </w:rPr>
        <w:t xml:space="preserve"> offer other advantages as well: they </w:t>
      </w:r>
      <w:r w:rsidRPr="00B576A4">
        <w:rPr>
          <w:b/>
          <w:u w:val="single"/>
        </w:rPr>
        <w:t>resemble the dilemmas</w:t>
      </w:r>
      <w:r w:rsidRPr="00B576A4">
        <w:rPr>
          <w:color w:val="A6A6A6" w:themeColor="background1" w:themeShade="A6"/>
          <w:sz w:val="12"/>
        </w:rPr>
        <w:t xml:space="preserve"> and choices that </w:t>
      </w:r>
      <w:r w:rsidRPr="00B576A4">
        <w:rPr>
          <w:b/>
          <w:u w:val="single"/>
        </w:rPr>
        <w:t>students will face as professionals in criminal justice; they</w:t>
      </w:r>
      <w:r w:rsidRPr="0055056F">
        <w:rPr>
          <w:color w:val="A6A6A6" w:themeColor="background1" w:themeShade="A6"/>
          <w:sz w:val="12"/>
        </w:rPr>
        <w:t xml:space="preserve"> tend to </w:t>
      </w:r>
      <w:r w:rsidRPr="00B576A4">
        <w:rPr>
          <w:b/>
          <w:u w:val="single"/>
        </w:rPr>
        <w:t>fix students' attention and</w:t>
      </w:r>
      <w:r w:rsidRPr="0055056F">
        <w:rPr>
          <w:color w:val="A6A6A6" w:themeColor="background1" w:themeShade="A6"/>
          <w:sz w:val="12"/>
        </w:rPr>
        <w:t xml:space="preserve"> to </w:t>
      </w:r>
      <w:r w:rsidRPr="00B576A4">
        <w:rPr>
          <w:b/>
          <w:u w:val="single"/>
        </w:rPr>
        <w:t>stimulate participation more effectively; and</w:t>
      </w:r>
      <w:r w:rsidRPr="00B576A4">
        <w:rPr>
          <w:color w:val="A6A6A6" w:themeColor="background1" w:themeShade="A6"/>
          <w:sz w:val="12"/>
        </w:rPr>
        <w:t xml:space="preserve"> they play to </w:t>
      </w:r>
      <w:r w:rsidRPr="00B576A4">
        <w:rPr>
          <w:b/>
          <w:u w:val="single"/>
        </w:rPr>
        <w:t>students</w:t>
      </w:r>
      <w:r w:rsidRPr="00B576A4">
        <w:rPr>
          <w:color w:val="A6A6A6" w:themeColor="background1" w:themeShade="A6"/>
          <w:sz w:val="12"/>
        </w:rPr>
        <w:t xml:space="preserve">' tendency to </w:t>
      </w:r>
      <w:r w:rsidRPr="00B576A4">
        <w:rPr>
          <w:b/>
          <w:u w:val="single"/>
        </w:rPr>
        <w:t>learn more easily when taught inductively</w:t>
      </w:r>
      <w:r w:rsidRPr="00B576A4">
        <w:rPr>
          <w:color w:val="A6A6A6" w:themeColor="background1" w:themeShade="A6"/>
          <w:sz w:val="12"/>
        </w:rPr>
        <w:t xml:space="preserve"> than deductively.</w:t>
      </w:r>
    </w:p>
    <w:p w:rsidR="00AE727E" w:rsidRDefault="00AE727E" w:rsidP="003E66AF">
      <w:pPr>
        <w:ind w:right="-1"/>
      </w:pPr>
    </w:p>
    <w:p w:rsidR="00AE727E" w:rsidRPr="00AA7A57" w:rsidRDefault="00AE727E" w:rsidP="00AE727E">
      <w:r>
        <w:t xml:space="preserve">Discussing reentry policy is key to criminal justice education. </w:t>
      </w:r>
      <w:r>
        <w:rPr>
          <w:b/>
          <w:u w:val="single"/>
        </w:rPr>
        <w:t>Swanson et al 10</w:t>
      </w:r>
      <w:r>
        <w:t xml:space="preserve"> writes</w:t>
      </w:r>
      <w:r>
        <w:rPr>
          <w:rStyle w:val="FootnoteReference"/>
        </w:rPr>
        <w:footnoteReference w:id="8"/>
      </w:r>
    </w:p>
    <w:p w:rsidR="00AE727E" w:rsidRPr="00445B5F" w:rsidRDefault="00AE727E" w:rsidP="00AE727E">
      <w:pPr>
        <w:rPr>
          <w:color w:val="A6A6A6" w:themeColor="background1" w:themeShade="A6"/>
          <w:sz w:val="12"/>
        </w:rPr>
      </w:pPr>
    </w:p>
    <w:p w:rsidR="00AE727E" w:rsidRPr="00CD13B6"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13B6">
        <w:rPr>
          <w:b/>
          <w:u w:val="single"/>
        </w:rPr>
        <w:t>Reentry is an important topic among policy-makers</w:t>
      </w:r>
      <w:r w:rsidRPr="00B57B6E">
        <w:rPr>
          <w:color w:val="A6A6A6" w:themeColor="background1" w:themeShade="A6"/>
          <w:sz w:val="12"/>
        </w:rPr>
        <w:t xml:space="preserve"> in national government. It is generally defined as the use of programs, practices, and strategies targeted at promoting the successful reentry of prisoners back into the community Faced with significant numbers of newly released prisoners, including those convicted of serious crimes</w:t>
      </w:r>
      <w:r w:rsidRPr="00CD13B6">
        <w:rPr>
          <w:color w:val="A6A6A6" w:themeColor="background1" w:themeShade="A6"/>
          <w:sz w:val="12"/>
        </w:rPr>
        <w:t xml:space="preserve">, the Bush administration created a Prison Reentry Initiative (Office of Justice Programs, U.S. Department of Justice, n.d.). Designed as a cooperative effort among several federal agencies, it funds state reentry programs. In addition, Bureau of Justice Assistance grants are awarded to state departments of corrections for developing prerelease services for prisoners transitioning back home. In April, 2008 President Bush also signed the Second Chance Act that creates an interagency council on reentry, provides additional funding for state programs, and authorizes direct grants to non-profit organizations for mentoring and other services for returning adult and juvenile offenders. The 2009 federal budget allocated $25,000,000 for reentry (Browning 2009). The Obama administration has budgeted $100,000,000 for these programs for 2010, a four-fold increase if appropriated (Browning 2009). </w:t>
      </w:r>
      <w:r w:rsidRPr="00CD13B6">
        <w:rPr>
          <w:b/>
          <w:u w:val="single"/>
        </w:rPr>
        <w:t>Reentry is of consequence for criminal justice education because every facet of the c</w:t>
      </w:r>
      <w:r w:rsidRPr="00CD13B6">
        <w:rPr>
          <w:color w:val="A6A6A6" w:themeColor="background1" w:themeShade="A6"/>
          <w:sz w:val="12"/>
        </w:rPr>
        <w:t xml:space="preserve">riminal </w:t>
      </w:r>
      <w:r w:rsidRPr="00CD13B6">
        <w:rPr>
          <w:b/>
          <w:u w:val="single"/>
        </w:rPr>
        <w:t>j</w:t>
      </w:r>
      <w:r w:rsidRPr="00CD13B6">
        <w:rPr>
          <w:color w:val="A6A6A6" w:themeColor="background1" w:themeShade="A6"/>
          <w:sz w:val="12"/>
        </w:rPr>
        <w:t xml:space="preserve">ustice </w:t>
      </w:r>
      <w:r w:rsidRPr="00CD13B6">
        <w:rPr>
          <w:b/>
          <w:u w:val="single"/>
        </w:rPr>
        <w:t>s</w:t>
      </w:r>
      <w:r w:rsidRPr="00CD13B6">
        <w:rPr>
          <w:color w:val="A6A6A6" w:themeColor="background1" w:themeShade="A6"/>
          <w:sz w:val="12"/>
        </w:rPr>
        <w:t xml:space="preserve">ystem, policing, courts, and corrections has contributed to the creation of this problem and </w:t>
      </w:r>
      <w:r w:rsidRPr="00CD13B6">
        <w:rPr>
          <w:b/>
          <w:u w:val="single"/>
        </w:rPr>
        <w:t>will be affected</w:t>
      </w:r>
      <w:r w:rsidRPr="00CD13B6">
        <w:rPr>
          <w:color w:val="A6A6A6" w:themeColor="background1" w:themeShade="A6"/>
          <w:sz w:val="12"/>
        </w:rPr>
        <w:t xml:space="preserve"> by the large numbers of inmates returning from prison. Police will be faced with large numbers of prior offenders who are known to reoffend. The courts will have to deal with the increased work load produced by returning offenders, and ultimately the correctional system will face having to</w:t>
      </w:r>
      <w:r w:rsidRPr="00B57B6E">
        <w:rPr>
          <w:color w:val="A6A6A6" w:themeColor="background1" w:themeShade="A6"/>
          <w:sz w:val="12"/>
        </w:rPr>
        <w:t xml:space="preserve"> house large numbers of offenders who return to their already overcrowded facilities. Criminal justice education can play a significant role in helping society to come to grips with the legal, political, and public policy issues raised by reentry. </w:t>
      </w:r>
      <w:r w:rsidRPr="00CD13B6">
        <w:rPr>
          <w:b/>
          <w:u w:val="single"/>
        </w:rPr>
        <w:t>We are</w:t>
      </w:r>
      <w:r w:rsidRPr="00B57B6E">
        <w:rPr>
          <w:color w:val="A6A6A6" w:themeColor="background1" w:themeShade="A6"/>
          <w:sz w:val="12"/>
        </w:rPr>
        <w:t xml:space="preserve"> currently </w:t>
      </w:r>
      <w:r w:rsidRPr="00CD13B6">
        <w:rPr>
          <w:b/>
          <w:u w:val="single"/>
        </w:rPr>
        <w:t xml:space="preserve">educating the next </w:t>
      </w:r>
      <w:r w:rsidRPr="00CD13B6">
        <w:rPr>
          <w:b/>
          <w:u w:val="single"/>
        </w:rPr>
        <w:lastRenderedPageBreak/>
        <w:t>generation of criminal justice scholars</w:t>
      </w:r>
      <w:r w:rsidRPr="00CD13B6">
        <w:rPr>
          <w:color w:val="A6A6A6" w:themeColor="background1" w:themeShade="A6"/>
          <w:sz w:val="12"/>
        </w:rPr>
        <w:t xml:space="preserve"> and practitioners </w:t>
      </w:r>
      <w:r w:rsidRPr="00CD13B6">
        <w:rPr>
          <w:b/>
          <w:u w:val="single"/>
        </w:rPr>
        <w:t>who will be called upon to provide</w:t>
      </w:r>
      <w:r w:rsidRPr="00CD13B6">
        <w:rPr>
          <w:color w:val="A6A6A6" w:themeColor="background1" w:themeShade="A6"/>
          <w:sz w:val="12"/>
        </w:rPr>
        <w:t xml:space="preserve"> the data and </w:t>
      </w:r>
      <w:r w:rsidRPr="00CD13B6">
        <w:rPr>
          <w:b/>
          <w:u w:val="single"/>
        </w:rPr>
        <w:t>policy initiatives to deal with</w:t>
      </w:r>
      <w:r w:rsidRPr="00CD13B6">
        <w:rPr>
          <w:color w:val="A6A6A6" w:themeColor="background1" w:themeShade="A6"/>
          <w:sz w:val="12"/>
        </w:rPr>
        <w:t xml:space="preserve"> the issues raised by </w:t>
      </w:r>
      <w:r w:rsidRPr="00CD13B6">
        <w:rPr>
          <w:b/>
          <w:u w:val="single"/>
        </w:rPr>
        <w:t>reentry.</w:t>
      </w:r>
    </w:p>
    <w:p w:rsidR="00AE727E" w:rsidRPr="00CD13B6" w:rsidRDefault="00AE727E" w:rsidP="00AE727E">
      <w:pPr>
        <w:pBdr>
          <w:top w:val="single" w:sz="4" w:space="1" w:color="auto"/>
          <w:left w:val="single" w:sz="4" w:space="4" w:color="auto"/>
          <w:bottom w:val="single" w:sz="4" w:space="1" w:color="auto"/>
          <w:right w:val="single" w:sz="4" w:space="4" w:color="auto"/>
        </w:pBdr>
        <w:rPr>
          <w:b/>
          <w:u w:val="single"/>
        </w:rPr>
      </w:pPr>
      <w:r w:rsidRPr="00CD13B6">
        <w:rPr>
          <w:color w:val="A6A6A6" w:themeColor="background1" w:themeShade="A6"/>
          <w:sz w:val="12"/>
        </w:rPr>
        <w:t xml:space="preserve">It is our belief that </w:t>
      </w:r>
      <w:r w:rsidRPr="00CD13B6">
        <w:rPr>
          <w:b/>
          <w:u w:val="single"/>
        </w:rPr>
        <w:t xml:space="preserve">reentry offers numerous opportunities for research and teaching. There will also be increased opportunities for </w:t>
      </w:r>
      <w:r w:rsidRPr="00D45A46">
        <w:rPr>
          <w:color w:val="A6A6A6" w:themeColor="background1" w:themeShade="A6"/>
          <w:sz w:val="12"/>
        </w:rPr>
        <w:t xml:space="preserve">bachelor's educated practitioners to </w:t>
      </w:r>
      <w:r w:rsidRPr="00CD13B6">
        <w:rPr>
          <w:b/>
          <w:u w:val="single"/>
        </w:rPr>
        <w:t>work with the reentry population.</w:t>
      </w:r>
      <w:r w:rsidRPr="00B57B6E">
        <w:rPr>
          <w:color w:val="A6A6A6" w:themeColor="background1" w:themeShade="A6"/>
          <w:sz w:val="12"/>
        </w:rPr>
        <w:t xml:space="preserve"> However, working with this population calls for specialized skills tailored to meet the needs of these offenders. Skills related to case management </w:t>
      </w:r>
      <w:r w:rsidRPr="001A040D">
        <w:rPr>
          <w:color w:val="A6A6A6" w:themeColor="background1" w:themeShade="A6"/>
          <w:sz w:val="12"/>
        </w:rPr>
        <w:t xml:space="preserve">and increased </w:t>
      </w:r>
      <w:r w:rsidRPr="001A040D">
        <w:rPr>
          <w:b/>
          <w:u w:val="single"/>
        </w:rPr>
        <w:t>understanding of substance</w:t>
      </w:r>
      <w:r w:rsidRPr="00CD13B6">
        <w:rPr>
          <w:b/>
          <w:u w:val="single"/>
        </w:rPr>
        <w:t xml:space="preserve"> abuse,</w:t>
      </w:r>
      <w:r w:rsidRPr="001A040D">
        <w:rPr>
          <w:color w:val="A6A6A6" w:themeColor="background1" w:themeShade="A6"/>
          <w:sz w:val="12"/>
        </w:rPr>
        <w:t xml:space="preserve"> mental illness, housing,</w:t>
      </w:r>
      <w:r w:rsidRPr="00CD13B6">
        <w:rPr>
          <w:b/>
          <w:u w:val="single"/>
        </w:rPr>
        <w:t xml:space="preserve"> job training,</w:t>
      </w:r>
      <w:r w:rsidRPr="001A040D">
        <w:rPr>
          <w:color w:val="A6A6A6" w:themeColor="background1" w:themeShade="A6"/>
          <w:sz w:val="12"/>
        </w:rPr>
        <w:t xml:space="preserve"> vocational training, </w:t>
      </w:r>
      <w:r w:rsidRPr="00CD13B6">
        <w:rPr>
          <w:b/>
          <w:u w:val="single"/>
        </w:rPr>
        <w:t>and education</w:t>
      </w:r>
      <w:r w:rsidRPr="00FA0458">
        <w:rPr>
          <w:color w:val="A6A6A6" w:themeColor="background1" w:themeShade="A6"/>
          <w:sz w:val="12"/>
        </w:rPr>
        <w:t xml:space="preserve">al opportunities </w:t>
      </w:r>
      <w:r w:rsidRPr="00CD13B6">
        <w:rPr>
          <w:b/>
          <w:u w:val="single"/>
        </w:rPr>
        <w:t>will be required for</w:t>
      </w:r>
      <w:r w:rsidRPr="001A040D">
        <w:rPr>
          <w:color w:val="A6A6A6" w:themeColor="background1" w:themeShade="A6"/>
          <w:sz w:val="12"/>
        </w:rPr>
        <w:t xml:space="preserve"> our </w:t>
      </w:r>
      <w:r w:rsidRPr="00CD13B6">
        <w:rPr>
          <w:b/>
          <w:u w:val="single"/>
        </w:rPr>
        <w:t>students</w:t>
      </w:r>
      <w:r w:rsidRPr="001A040D">
        <w:rPr>
          <w:color w:val="A6A6A6" w:themeColor="background1" w:themeShade="A6"/>
          <w:sz w:val="12"/>
        </w:rPr>
        <w:t xml:space="preserve"> to take advantage of these </w:t>
      </w:r>
      <w:r w:rsidRPr="00B57B6E">
        <w:rPr>
          <w:color w:val="A6A6A6" w:themeColor="background1" w:themeShade="A6"/>
          <w:sz w:val="12"/>
        </w:rPr>
        <w:t>opportunities. In addition, there is a need for theoretical understanding of the reentry process as well as knowledge of research methodologies that are helpful for understanding the problem. Legal issues and discretionary decision-making are also relevant to the success of reentry efforts. Will the curriculum in criminal justice education at all levels, but particularly at the undergraduate</w:t>
      </w:r>
      <w:r w:rsidRPr="001A040D">
        <w:rPr>
          <w:color w:val="A6A6A6" w:themeColor="background1" w:themeShade="A6"/>
          <w:sz w:val="12"/>
        </w:rPr>
        <w:t xml:space="preserve"> level, sufficiently prepare students for these new challenges brought about by reentry?</w:t>
      </w:r>
    </w:p>
    <w:p w:rsidR="00AE727E" w:rsidRDefault="00AE727E" w:rsidP="00AE727E"/>
    <w:p w:rsidR="00AE727E" w:rsidRDefault="00AE727E" w:rsidP="00AE727E">
      <w:r>
        <w:t xml:space="preserve">Empirics confirm. Reentry is the most important and least discussed form of criminal justice education. </w:t>
      </w:r>
      <w:r>
        <w:rPr>
          <w:b/>
          <w:u w:val="single"/>
        </w:rPr>
        <w:t>Swanson et al 10</w:t>
      </w:r>
      <w:r>
        <w:t xml:space="preserve"> writes</w:t>
      </w:r>
      <w:r>
        <w:rPr>
          <w:rStyle w:val="FootnoteReference"/>
        </w:rPr>
        <w:footnoteReference w:id="9"/>
      </w:r>
    </w:p>
    <w:p w:rsidR="00AE727E" w:rsidRDefault="00AE727E" w:rsidP="00AE727E">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 xml:space="preserve">rates than telephone or male surveys (Couper 2000; </w:t>
      </w:r>
      <w:r w:rsidRPr="000D2DCF">
        <w:rPr>
          <w:color w:val="A6A6A6" w:themeColor="background1" w:themeShade="A6"/>
          <w:sz w:val="12"/>
        </w:rPr>
        <w:t>DiNitto et al. 2008; Tourangeau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r w:rsidRPr="000D2DCF">
        <w:rPr>
          <w:color w:val="A6A6A6" w:themeColor="background1" w:themeShade="A6"/>
          <w:sz w:val="12"/>
        </w:rPr>
        <w:t>Of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 Thus, it appears that when reentry issues are addressed, they are largely covered in more general courses.</w:t>
      </w:r>
    </w:p>
    <w:p w:rsidR="00AE727E" w:rsidRPr="000D2DCF"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provides a breakdown of the amount of coverage of each reentry issue for only those respondents who reported they addressed the topics.2 While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Social work                             Other</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lastRenderedPageBreak/>
        <w:t>1.81                                     1.90                             .850</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Political science                       Other</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AE727E" w:rsidRPr="00FA0458" w:rsidRDefault="00AE727E" w:rsidP="00AE727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AE727E" w:rsidRPr="002422C6" w:rsidRDefault="00AE727E" w:rsidP="00AE727E">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points to 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AE727E" w:rsidRDefault="00AE727E" w:rsidP="003E66AF">
      <w:pPr>
        <w:ind w:right="-1"/>
      </w:pPr>
    </w:p>
    <w:p w:rsidR="00AE727E" w:rsidRDefault="00AE727E" w:rsidP="00AE727E">
      <w:r>
        <w:t xml:space="preserve">Criminal justice education is a voter. </w:t>
      </w:r>
      <w:r>
        <w:rPr>
          <w:b/>
          <w:u w:val="single"/>
        </w:rPr>
        <w:t>Nielson 11</w:t>
      </w:r>
      <w:r>
        <w:t xml:space="preserve"> writes</w:t>
      </w:r>
      <w:r>
        <w:rPr>
          <w:rStyle w:val="FootnoteReference"/>
        </w:rPr>
        <w:footnoteReference w:id="10"/>
      </w:r>
    </w:p>
    <w:p w:rsidR="00AE727E" w:rsidRPr="00824176" w:rsidRDefault="00AE727E" w:rsidP="00AE727E">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work post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go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8B2A64" w:rsidRDefault="008B2A64" w:rsidP="003E66AF">
      <w:pPr>
        <w:ind w:right="-1"/>
      </w:pPr>
    </w:p>
    <w:p w:rsidR="00607A47" w:rsidRPr="00EA6814" w:rsidRDefault="00607A47" w:rsidP="00607A47">
      <w:r>
        <w:t xml:space="preserve">Philosophy focus is bad. It has no real world impact and trades off with topic-specific education. </w:t>
      </w:r>
      <w:r>
        <w:rPr>
          <w:b/>
          <w:u w:val="single"/>
        </w:rPr>
        <w:t>Lawrence 12</w:t>
      </w:r>
      <w:r w:rsidRPr="005503A2">
        <w:t xml:space="preserve"> writes</w:t>
      </w:r>
      <w:r w:rsidRPr="00EA6814">
        <w:rPr>
          <w:rStyle w:val="FootnoteReference"/>
        </w:rPr>
        <w:footnoteReference w:id="11"/>
      </w:r>
    </w:p>
    <w:p w:rsidR="00607A47" w:rsidRPr="00B70E8B" w:rsidRDefault="00607A47" w:rsidP="00607A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B70E8B">
        <w:rPr>
          <w:color w:val="A6A6A6" w:themeColor="background1" w:themeShade="A6"/>
          <w:sz w:val="12"/>
        </w:rPr>
        <w:t>The most obvious benefit of embracing AEC is that we get to avoid the same deontology vs. utilitarianism vs. contractualism debate that populates almost every LD round. To some, this may seem like a disadvantage rather than a benefit, but consider the following.</w:t>
      </w:r>
      <w:r w:rsidRPr="00B70E8B">
        <w:t> </w:t>
      </w:r>
      <w:r w:rsidRPr="00B70E8B">
        <w:rPr>
          <w:b/>
          <w:u w:val="single"/>
        </w:rPr>
        <w:t>First, the ethics debate has been going on for several hundred years and has not</w:t>
      </w:r>
      <w:r w:rsidRPr="00FD47D2">
        <w:rPr>
          <w:color w:val="A6A6A6" w:themeColor="background1" w:themeShade="A6"/>
          <w:sz w:val="12"/>
        </w:rPr>
        <w:t xml:space="preserve"> </w:t>
      </w:r>
      <w:r w:rsidRPr="00B70E8B">
        <w:rPr>
          <w:color w:val="A6A6A6" w:themeColor="background1" w:themeShade="A6"/>
          <w:sz w:val="12"/>
        </w:rPr>
        <w:t>come even close to</w:t>
      </w:r>
      <w:r w:rsidRPr="00B70E8B">
        <w:t xml:space="preserve"> </w:t>
      </w:r>
      <w:r w:rsidRPr="00B70E8B">
        <w:rPr>
          <w:b/>
          <w:u w:val="single"/>
        </w:rPr>
        <w:t>be[en]</w:t>
      </w:r>
      <w:r w:rsidRPr="00B70E8B">
        <w:rPr>
          <w:color w:val="A6A6A6" w:themeColor="background1" w:themeShade="A6"/>
          <w:sz w:val="12"/>
        </w:rPr>
        <w:t>ing</w:t>
      </w:r>
      <w:r w:rsidRPr="00B70E8B">
        <w:t xml:space="preserve"> </w:t>
      </w:r>
      <w:r w:rsidRPr="00B70E8B">
        <w:rPr>
          <w:b/>
          <w:u w:val="single"/>
        </w:rPr>
        <w:t>resolved. To think that</w:t>
      </w:r>
      <w:r w:rsidRPr="00B70E8B">
        <w:rPr>
          <w:b/>
          <w:color w:val="A6A6A6" w:themeColor="background1" w:themeShade="A6"/>
          <w:sz w:val="12"/>
          <w:u w:val="single"/>
        </w:rPr>
        <w:t xml:space="preserve"> </w:t>
      </w:r>
      <w:r w:rsidRPr="00B70E8B">
        <w:rPr>
          <w:color w:val="A6A6A6" w:themeColor="background1" w:themeShade="A6"/>
          <w:sz w:val="12"/>
        </w:rPr>
        <w:t>the</w:t>
      </w:r>
      <w:r w:rsidRPr="00B70E8B">
        <w:t xml:space="preserve"> </w:t>
      </w:r>
      <w:r w:rsidRPr="00B70E8B">
        <w:rPr>
          <w:b/>
          <w:u w:val="single"/>
        </w:rPr>
        <w:t>discussion</w:t>
      </w:r>
      <w:r w:rsidRPr="00FD47D2">
        <w:rPr>
          <w:color w:val="A6A6A6" w:themeColor="background1" w:themeShade="A6"/>
          <w:sz w:val="12"/>
        </w:rPr>
        <w:t xml:space="preserve"> </w:t>
      </w:r>
      <w:r w:rsidRPr="00B70E8B">
        <w:rPr>
          <w:color w:val="A6A6A6" w:themeColor="background1" w:themeShade="A6"/>
          <w:sz w:val="12"/>
        </w:rPr>
        <w:t>that happens</w:t>
      </w:r>
      <w:r w:rsidRPr="00FD47D2">
        <w:rPr>
          <w:color w:val="A6A6A6" w:themeColor="background1" w:themeShade="A6"/>
          <w:sz w:val="12"/>
        </w:rPr>
        <w:t xml:space="preserve"> </w:t>
      </w:r>
      <w:r w:rsidRPr="00B70E8B">
        <w:rPr>
          <w:b/>
          <w:u w:val="single"/>
        </w:rPr>
        <w:t>in a</w:t>
      </w:r>
      <w:r w:rsidRPr="00B70E8B">
        <w:rPr>
          <w:b/>
          <w:color w:val="A6A6A6" w:themeColor="background1" w:themeShade="A6"/>
          <w:sz w:val="12"/>
          <w:u w:val="single"/>
        </w:rPr>
        <w:t xml:space="preserve"> </w:t>
      </w:r>
      <w:r w:rsidRPr="00B70E8B">
        <w:rPr>
          <w:color w:val="A6A6A6" w:themeColor="background1" w:themeShade="A6"/>
          <w:sz w:val="12"/>
        </w:rPr>
        <w:t xml:space="preserve">45 minute </w:t>
      </w:r>
      <w:r w:rsidRPr="00B70E8B">
        <w:rPr>
          <w:b/>
          <w:u w:val="single"/>
        </w:rPr>
        <w:t>debate has any educational value on an issue that is so</w:t>
      </w:r>
      <w:r w:rsidRPr="00B70E8B">
        <w:t> </w:t>
      </w:r>
      <w:r w:rsidRPr="00B70E8B">
        <w:rPr>
          <w:color w:val="A6A6A6" w:themeColor="background1" w:themeShade="A6"/>
          <w:sz w:val="12"/>
        </w:rPr>
        <w:t>deep, nuanced, and</w:t>
      </w:r>
      <w:r w:rsidRPr="00B70E8B">
        <w:t> </w:t>
      </w:r>
      <w:r w:rsidRPr="00B70E8B">
        <w:rPr>
          <w:b/>
          <w:u w:val="single"/>
        </w:rPr>
        <w:t>irresolvable is delusional. Any education </w:t>
      </w:r>
      <w:r w:rsidRPr="00B70E8B">
        <w:rPr>
          <w:color w:val="A6A6A6" w:themeColor="background1" w:themeShade="A6"/>
          <w:sz w:val="12"/>
        </w:rPr>
        <w:t xml:space="preserve">to be derived </w:t>
      </w:r>
      <w:r w:rsidRPr="00B70E8B">
        <w:rPr>
          <w:b/>
          <w:u w:val="single"/>
        </w:rPr>
        <w:t>from this issue is best accessed by</w:t>
      </w:r>
      <w:r w:rsidRPr="00B70E8B">
        <w:rPr>
          <w:b/>
          <w:color w:val="A6A6A6" w:themeColor="background1" w:themeShade="A6"/>
          <w:sz w:val="12"/>
          <w:u w:val="single"/>
        </w:rPr>
        <w:t xml:space="preserve"> </w:t>
      </w:r>
      <w:r w:rsidRPr="00B70E8B">
        <w:rPr>
          <w:color w:val="A6A6A6" w:themeColor="background1" w:themeShade="A6"/>
          <w:sz w:val="12"/>
        </w:rPr>
        <w:t>just</w:t>
      </w:r>
      <w:r w:rsidRPr="00B70E8B">
        <w:t xml:space="preserve"> </w:t>
      </w:r>
      <w:r w:rsidRPr="00B70E8B">
        <w:rPr>
          <w:b/>
          <w:u w:val="single"/>
        </w:rPr>
        <w:t>reading articles. </w:t>
      </w:r>
      <w:r w:rsidRPr="00B70E8B">
        <w:rPr>
          <w:color w:val="A6A6A6" w:themeColor="background1" w:themeShade="A6"/>
          <w:sz w:val="12"/>
        </w:rPr>
        <w:t>To call the dilapidated ethical discussions that currently occur in most LD rounds “good debate” is a giant misnomer.</w:t>
      </w:r>
      <w:r w:rsidRPr="00B70E8B">
        <w:t> </w:t>
      </w:r>
      <w:r w:rsidRPr="00B70E8B">
        <w:rPr>
          <w:b/>
          <w:u w:val="single"/>
        </w:rPr>
        <w:t xml:space="preserve">Second, the ethics debate trades </w:t>
      </w:r>
      <w:r w:rsidRPr="003F6ECA">
        <w:rPr>
          <w:b/>
          <w:u w:val="single"/>
        </w:rPr>
        <w:t>off with</w:t>
      </w:r>
      <w:r w:rsidRPr="00B70E8B">
        <w:rPr>
          <w:color w:val="A6A6A6" w:themeColor="background1" w:themeShade="A6"/>
          <w:sz w:val="12"/>
        </w:rPr>
        <w:t xml:space="preserve"> a discussion of</w:t>
      </w:r>
      <w:r w:rsidRPr="00B70E8B">
        <w:t xml:space="preserve"> </w:t>
      </w:r>
      <w:r w:rsidRPr="00B70E8B">
        <w:rPr>
          <w:b/>
          <w:u w:val="single"/>
        </w:rPr>
        <w:t>the resolution. Since debaters have</w:t>
      </w:r>
      <w:r w:rsidRPr="00B70E8B">
        <w:rPr>
          <w:b/>
          <w:color w:val="A6A6A6" w:themeColor="background1" w:themeShade="A6"/>
          <w:sz w:val="12"/>
          <w:u w:val="single"/>
        </w:rPr>
        <w:t xml:space="preserve"> </w:t>
      </w:r>
      <w:r w:rsidRPr="00B70E8B">
        <w:rPr>
          <w:color w:val="A6A6A6" w:themeColor="background1" w:themeShade="A6"/>
          <w:sz w:val="12"/>
        </w:rPr>
        <w:t>a</w:t>
      </w:r>
      <w:r w:rsidRPr="00B70E8B">
        <w:t xml:space="preserve"> </w:t>
      </w:r>
      <w:r w:rsidRPr="00B70E8B">
        <w:rPr>
          <w:b/>
          <w:u w:val="single"/>
        </w:rPr>
        <w:t>limited</w:t>
      </w:r>
      <w:r w:rsidRPr="00FD47D2">
        <w:rPr>
          <w:color w:val="A6A6A6" w:themeColor="background1" w:themeShade="A6"/>
          <w:sz w:val="12"/>
        </w:rPr>
        <w:t xml:space="preserve"> </w:t>
      </w:r>
      <w:r w:rsidRPr="00B70E8B">
        <w:rPr>
          <w:color w:val="A6A6A6" w:themeColor="background1" w:themeShade="A6"/>
          <w:sz w:val="12"/>
        </w:rPr>
        <w:t>window of</w:t>
      </w:r>
      <w:r w:rsidRPr="00B70E8B">
        <w:t xml:space="preserve"> </w:t>
      </w:r>
      <w:r w:rsidRPr="00B70E8B">
        <w:rPr>
          <w:b/>
          <w:u w:val="single"/>
        </w:rPr>
        <w:t>opportunity to debate the topic, we should prefer topic-specific discussions</w:t>
      </w:r>
      <w:r w:rsidRPr="00B70E8B">
        <w:t xml:space="preserve"> </w:t>
      </w:r>
      <w:r w:rsidRPr="00B70E8B">
        <w:rPr>
          <w:color w:val="A6A6A6" w:themeColor="background1" w:themeShade="A6"/>
          <w:sz w:val="12"/>
        </w:rPr>
        <w:t>over generic ethics. Squads should not be able to run the same argument(s) for five years on the negative in LD instead of making new arguments on each resolution. What is more, if debate is supposed to educate its participants to become better-informed citizens and critical thinkers. An ivory tower discussion of meta-ethics has little practical value[.] for high school debaters moving forward into college and beyond.</w:t>
      </w:r>
    </w:p>
    <w:p w:rsidR="00607A47" w:rsidRDefault="00607A47" w:rsidP="003E66AF">
      <w:pPr>
        <w:ind w:right="-1"/>
      </w:pPr>
    </w:p>
    <w:p w:rsidR="00F5537F" w:rsidRDefault="00F5537F" w:rsidP="00F5537F">
      <w:r>
        <w:t>D. Drop the debater</w:t>
      </w:r>
    </w:p>
    <w:p w:rsidR="00F5537F" w:rsidRDefault="00F5537F" w:rsidP="00F5537F">
      <w:r>
        <w:t>1. The NC was skewed. I can’t redo it after the 1AR shifts.</w:t>
      </w:r>
    </w:p>
    <w:p w:rsidR="00F5537F" w:rsidRDefault="00F5537F" w:rsidP="00F5537F">
      <w:r>
        <w:t>2. Key to deterrence. Drop the arg means aff will run abusive cases for the timeskew.</w:t>
      </w:r>
    </w:p>
    <w:p w:rsidR="00F5537F" w:rsidRDefault="00F5537F" w:rsidP="00F5537F">
      <w:r>
        <w:t>3. Jurisdiction. Can’t vote for a nontopical plan.</w:t>
      </w:r>
    </w:p>
    <w:p w:rsidR="00F5537F" w:rsidRDefault="00F5537F" w:rsidP="00F5537F"/>
    <w:p w:rsidR="00F5537F" w:rsidRDefault="00F5537F" w:rsidP="00F5537F">
      <w:r>
        <w:t>Prefer competing interpretations because reasonability is arbitrary and invites judge intervention.</w:t>
      </w:r>
    </w:p>
    <w:p w:rsidR="00F5537F" w:rsidRDefault="00F5537F" w:rsidP="003E66AF">
      <w:pPr>
        <w:ind w:right="-1"/>
      </w:pPr>
    </w:p>
    <w:p w:rsidR="008B2A64" w:rsidRPr="00607A47" w:rsidRDefault="00607A47" w:rsidP="00607A47">
      <w:pPr>
        <w:pStyle w:val="Heading2"/>
        <w:spacing w:before="0"/>
        <w:jc w:val="center"/>
        <w:rPr>
          <w:rFonts w:ascii="Georgia" w:hAnsi="Georgia"/>
          <w:color w:val="auto"/>
          <w:sz w:val="24"/>
          <w:u w:val="single"/>
        </w:rPr>
      </w:pPr>
      <w:r>
        <w:rPr>
          <w:rFonts w:ascii="Georgia" w:hAnsi="Georgia"/>
          <w:color w:val="auto"/>
          <w:sz w:val="24"/>
          <w:u w:val="single"/>
        </w:rPr>
        <w:lastRenderedPageBreak/>
        <w:t>NR Overview</w:t>
      </w:r>
    </w:p>
    <w:p w:rsidR="00607A47" w:rsidRDefault="00607A47" w:rsidP="003E66AF">
      <w:pPr>
        <w:ind w:right="-1"/>
      </w:pPr>
    </w:p>
    <w:p w:rsidR="008B2A64" w:rsidRDefault="008B2A64" w:rsidP="003E66AF">
      <w:pPr>
        <w:ind w:right="-1"/>
      </w:pPr>
      <w:r>
        <w:t>Prefer evidence to analytics on the theory debate. Two reasons:</w:t>
      </w:r>
    </w:p>
    <w:p w:rsidR="008B2A64" w:rsidRDefault="008B2A64" w:rsidP="003E66AF">
      <w:pPr>
        <w:ind w:right="-1"/>
      </w:pPr>
      <w:r>
        <w:t>1. My authors are experts in the field and therefore more qualified to objectively evaluate questions of field context or educational value.</w:t>
      </w:r>
    </w:p>
    <w:p w:rsidR="008B2A64" w:rsidRDefault="008B2A64" w:rsidP="003E66AF">
      <w:pPr>
        <w:ind w:right="-1"/>
      </w:pPr>
      <w:r>
        <w:t>2. Debaters are biased in favor of making overstatements like “infinite ground loss” in hopes that it gets dropped. These claims should carry no weight in the face of expert opinion because they just reflect debaters’ incentive to win.</w:t>
      </w:r>
    </w:p>
    <w:p w:rsidR="00607A47" w:rsidRDefault="00607A47" w:rsidP="003E66AF">
      <w:pPr>
        <w:ind w:right="-1"/>
      </w:pPr>
    </w:p>
    <w:p w:rsidR="00607A47" w:rsidRPr="00861F7F" w:rsidRDefault="00607A47" w:rsidP="00607A47">
      <w:pPr>
        <w:pStyle w:val="Heading1"/>
        <w:spacing w:before="0"/>
        <w:jc w:val="center"/>
        <w:rPr>
          <w:rFonts w:ascii="Georgia" w:hAnsi="Georgia"/>
          <w:color w:val="auto"/>
          <w:sz w:val="24"/>
          <w:u w:val="single"/>
        </w:rPr>
      </w:pPr>
      <w:r>
        <w:rPr>
          <w:rFonts w:ascii="Georgia" w:hAnsi="Georgia"/>
          <w:color w:val="auto"/>
          <w:sz w:val="24"/>
          <w:u w:val="single"/>
        </w:rPr>
        <w:t>Frontlines</w:t>
      </w:r>
    </w:p>
    <w:p w:rsidR="00607A47" w:rsidRPr="00861F7F" w:rsidRDefault="00607A47" w:rsidP="00607A47">
      <w:pPr>
        <w:rPr>
          <w:b/>
          <w:u w:val="single"/>
        </w:rPr>
      </w:pPr>
    </w:p>
    <w:p w:rsidR="00607A47" w:rsidRPr="00FA0458" w:rsidRDefault="00607A47" w:rsidP="00607A47">
      <w:pPr>
        <w:pStyle w:val="Heading2"/>
        <w:spacing w:before="0"/>
        <w:jc w:val="center"/>
        <w:rPr>
          <w:rFonts w:ascii="Georgia" w:hAnsi="Georgia"/>
          <w:color w:val="auto"/>
          <w:sz w:val="24"/>
          <w:u w:val="single"/>
        </w:rPr>
      </w:pPr>
      <w:r>
        <w:rPr>
          <w:rFonts w:ascii="Georgia" w:hAnsi="Georgia"/>
          <w:color w:val="auto"/>
          <w:sz w:val="24"/>
          <w:u w:val="single"/>
        </w:rPr>
        <w:t>AT AFC</w:t>
      </w:r>
    </w:p>
    <w:p w:rsidR="00607A47" w:rsidRDefault="00607A47" w:rsidP="00607A47"/>
    <w:p w:rsidR="00607A47" w:rsidRDefault="00607A47" w:rsidP="00607A47">
      <w:r>
        <w:t>1. This is functionally reasonability. No brightline for how abusive aff can be.</w:t>
      </w:r>
    </w:p>
    <w:p w:rsidR="00607A47" w:rsidRDefault="00607A47" w:rsidP="00607A47">
      <w:r>
        <w:t>2. Doesn’t apply at the TOC. You’ve had 5 months to find a good aff.</w:t>
      </w:r>
    </w:p>
    <w:p w:rsidR="00607A47" w:rsidRDefault="00607A47" w:rsidP="00607A47">
      <w:r>
        <w:t>3. Kills clash. Affs will try to find the most abusive plan they can get away with.</w:t>
      </w:r>
    </w:p>
    <w:p w:rsidR="00607A47" w:rsidRDefault="00607A47" w:rsidP="00607A47">
      <w:r>
        <w:t>4. No uniqueness – if I don’t have prep, there’s no educational value to engaging the aff anyway.</w:t>
      </w:r>
    </w:p>
    <w:p w:rsidR="00607A47" w:rsidRDefault="00607A47" w:rsidP="00607A47"/>
    <w:p w:rsidR="00607A47" w:rsidRPr="00861F7F" w:rsidRDefault="00607A47" w:rsidP="00607A47">
      <w:pPr>
        <w:pStyle w:val="Heading2"/>
        <w:spacing w:before="0"/>
        <w:jc w:val="center"/>
        <w:rPr>
          <w:rFonts w:ascii="Georgia" w:hAnsi="Georgia"/>
          <w:color w:val="auto"/>
          <w:sz w:val="24"/>
          <w:u w:val="single"/>
        </w:rPr>
      </w:pPr>
      <w:r>
        <w:rPr>
          <w:rFonts w:ascii="Georgia" w:hAnsi="Georgia"/>
          <w:color w:val="auto"/>
          <w:sz w:val="24"/>
          <w:u w:val="single"/>
        </w:rPr>
        <w:t>AT CX Checks</w:t>
      </w:r>
    </w:p>
    <w:p w:rsidR="00607A47" w:rsidRDefault="00607A47" w:rsidP="00607A47">
      <w:r>
        <w:t xml:space="preserve">1. Doesn’t solve </w:t>
      </w:r>
      <w:r w:rsidRPr="00861F7F">
        <w:rPr>
          <w:b/>
        </w:rPr>
        <w:t>pre-round</w:t>
      </w:r>
      <w:r>
        <w:t xml:space="preserve"> prep which is the internal link to my offense.</w:t>
      </w:r>
    </w:p>
    <w:p w:rsidR="00607A47" w:rsidRDefault="00607A47" w:rsidP="00607A47">
      <w:r>
        <w:t>2. It’s not predictable. I don’t know what you’ll concede to before the round.</w:t>
      </w:r>
    </w:p>
    <w:p w:rsidR="00607A47" w:rsidRDefault="00607A47" w:rsidP="00607A47">
      <w:r>
        <w:t>3. Most of my strategic decisions happen during the AC and cross-ex. Shifting during CX kills 9 out of my 14 minutes of prep.</w:t>
      </w:r>
    </w:p>
    <w:p w:rsidR="00607A47" w:rsidRDefault="00607A47" w:rsidP="00607A47">
      <w:r>
        <w:t>4. Obviously he wouldn’t have conceded to defend a new 1AR plan that he has no evidence for. Checking would be pointless.</w:t>
      </w:r>
    </w:p>
    <w:p w:rsidR="00607A47" w:rsidRDefault="00607A47" w:rsidP="00607A47">
      <w:r>
        <w:t>5. Causes prep skew. I’m forced to tell him what shell I’m going for, so he can use my prep</w:t>
      </w:r>
      <w:r w:rsidR="003F6ECA">
        <w:t>-</w:t>
      </w:r>
      <w:r>
        <w:t>time against me.</w:t>
      </w:r>
    </w:p>
    <w:p w:rsidR="00267B0A" w:rsidRDefault="00607A47" w:rsidP="00607A47">
      <w:r>
        <w:t>6. No reason why avoiding theory is good. Substance was already skewed by the AC.  We couldn’t have had topic education anyway.</w:t>
      </w:r>
    </w:p>
    <w:p w:rsidR="004845A9" w:rsidRDefault="004845A9" w:rsidP="00607A47"/>
    <w:p w:rsidR="003F6ECA" w:rsidRDefault="003F6ECA">
      <w:pPr>
        <w:rPr>
          <w:rFonts w:eastAsiaTheme="majorEastAsia" w:cstheme="majorBidi"/>
          <w:b/>
          <w:bCs/>
          <w:szCs w:val="26"/>
          <w:u w:val="single"/>
        </w:rPr>
      </w:pPr>
      <w:r>
        <w:rPr>
          <w:u w:val="single"/>
        </w:rPr>
        <w:br w:type="page"/>
      </w:r>
    </w:p>
    <w:p w:rsidR="004845A9" w:rsidRPr="004845A9" w:rsidRDefault="004845A9" w:rsidP="004845A9">
      <w:pPr>
        <w:pStyle w:val="Heading2"/>
        <w:spacing w:before="0"/>
        <w:jc w:val="center"/>
        <w:rPr>
          <w:rFonts w:ascii="Georgia" w:hAnsi="Georgia"/>
          <w:color w:val="auto"/>
          <w:sz w:val="24"/>
          <w:u w:val="single"/>
        </w:rPr>
      </w:pPr>
      <w:r>
        <w:rPr>
          <w:rFonts w:ascii="Georgia" w:hAnsi="Georgia"/>
          <w:color w:val="auto"/>
          <w:sz w:val="24"/>
          <w:u w:val="single"/>
        </w:rPr>
        <w:lastRenderedPageBreak/>
        <w:t>AT Resolved Counter-Definition</w:t>
      </w:r>
    </w:p>
    <w:p w:rsidR="004845A9" w:rsidRDefault="004845A9" w:rsidP="00607A47">
      <w:r>
        <w:t xml:space="preserve">1. </w:t>
      </w:r>
      <w:r w:rsidR="004E0E35">
        <w:t xml:space="preserve">Prefer Words and Phrases 64. </w:t>
      </w:r>
      <w:r>
        <w:t>It’s a legal dictionary, so it’s</w:t>
      </w:r>
      <w:r w:rsidR="004E0E35">
        <w:t xml:space="preserve"> most applicable to the topic.</w:t>
      </w:r>
    </w:p>
    <w:p w:rsidR="004845A9" w:rsidRPr="00153539" w:rsidRDefault="004E0E35" w:rsidP="004845A9">
      <w:r>
        <w:t xml:space="preserve">2. My definition makes most sense in the context of a debate round. </w:t>
      </w:r>
      <w:r w:rsidR="004845A9" w:rsidRPr="004357ED">
        <w:rPr>
          <w:b/>
          <w:u w:val="single"/>
        </w:rPr>
        <w:t>Parcher 1</w:t>
      </w:r>
      <w:r w:rsidR="004845A9">
        <w:t xml:space="preserve"> writes</w:t>
      </w:r>
      <w:r w:rsidR="004845A9">
        <w:rPr>
          <w:rStyle w:val="FootnoteReference"/>
        </w:rPr>
        <w:footnoteReference w:id="12"/>
      </w:r>
    </w:p>
    <w:p w:rsidR="004845A9" w:rsidRPr="004357ED" w:rsidRDefault="004845A9" w:rsidP="004845A9">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57ED">
        <w:rPr>
          <w:color w:val="A6A6A6" w:themeColor="background1" w:themeShade="A6"/>
          <w:sz w:val="12"/>
        </w:rPr>
        <w:t xml:space="preserve">(1) Pardon me if I turn to a source besides Bill. American Heritage Dictionary: Resolve: 1. To make a firm decision about. 2. To decide or express by formal vote. 3. To separate something into constituent parts See Syns at *analyze* (emphasis in original) 4. Find a solution to. See Syns at *Solve* (emphasis in original) 5. To dispel: resolve a doubt. - n 1. Firmness of purpose; resolution. 2. A determination or decision. (2) The very nature of the word </w:t>
      </w:r>
      <w:r w:rsidRPr="00BE3F81">
        <w:rPr>
          <w:b/>
          <w:u w:val="single"/>
        </w:rPr>
        <w:t>"resolution”</w:t>
      </w:r>
      <w:r w:rsidRPr="00BE3F81">
        <w:rPr>
          <w:color w:val="A6A6A6" w:themeColor="background1" w:themeShade="A6"/>
          <w:sz w:val="12"/>
        </w:rPr>
        <w:t xml:space="preserve"> makes it a question. American Heritage: </w:t>
      </w:r>
      <w:r w:rsidRPr="00BE3F81">
        <w:rPr>
          <w:b/>
          <w:u w:val="single"/>
        </w:rPr>
        <w:t>A course of action</w:t>
      </w:r>
      <w:r w:rsidRPr="00BE3F81">
        <w:rPr>
          <w:color w:val="A6A6A6" w:themeColor="background1" w:themeShade="A6"/>
          <w:sz w:val="12"/>
        </w:rPr>
        <w:t xml:space="preserve"> determined or decided on. A formal statement of a decision, as by a legislature. (3) The resolution is obviously a question. </w:t>
      </w:r>
      <w:r w:rsidRPr="00153539">
        <w:rPr>
          <w:b/>
          <w:u w:val="single"/>
        </w:rPr>
        <w:t>Any other conclusion is utterly inconceivable. Why? Context.</w:t>
      </w:r>
      <w:r w:rsidRPr="00BE3F81">
        <w:rPr>
          <w:color w:val="A6A6A6" w:themeColor="background1" w:themeShade="A6"/>
          <w:sz w:val="12"/>
        </w:rPr>
        <w:t xml:space="preserve">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desirability of that resolution. That's not only what they do, but it's what we REQUIRE them to do. We don't just send the topic committee somewhere to adopt their own group resolution. It's not the end point of a resolution adopted by a body - it's the preliminary wording of a resolution sent to others to be answered</w:t>
      </w:r>
      <w:r w:rsidRPr="003F6ECA">
        <w:rPr>
          <w:color w:val="A6A6A6" w:themeColor="background1" w:themeShade="A6"/>
          <w:sz w:val="12"/>
        </w:rPr>
        <w:t xml:space="preserve"> or decided upon. (4) Further context: the word resolved is used to emphasis the fact that it's policy debate. </w:t>
      </w:r>
      <w:r w:rsidRPr="00153539">
        <w:rPr>
          <w:b/>
          <w:u w:val="single"/>
        </w:rPr>
        <w:t>Resolved comes from</w:t>
      </w:r>
      <w:r w:rsidRPr="00BE3F81">
        <w:rPr>
          <w:color w:val="A6A6A6" w:themeColor="background1" w:themeShade="A6"/>
          <w:sz w:val="12"/>
        </w:rPr>
        <w:t xml:space="preserve"> </w:t>
      </w:r>
      <w:r w:rsidRPr="004357ED">
        <w:rPr>
          <w:color w:val="A6A6A6" w:themeColor="background1" w:themeShade="A6"/>
          <w:sz w:val="12"/>
        </w:rPr>
        <w:t xml:space="preserve">the adoption of </w:t>
      </w:r>
      <w:r w:rsidRPr="00153539">
        <w:rPr>
          <w:b/>
          <w:u w:val="single"/>
        </w:rPr>
        <w:t>resolutions by legislative bodies</w:t>
      </w:r>
      <w:r w:rsidRPr="004357ED">
        <w:rPr>
          <w:color w:val="A6A6A6" w:themeColor="background1" w:themeShade="A6"/>
          <w:sz w:val="12"/>
        </w:rPr>
        <w:t xml:space="preserve">. A resolution is either adopted or </w:t>
      </w:r>
      <w:r w:rsidRPr="00BE3F81">
        <w:rPr>
          <w:color w:val="A6A6A6" w:themeColor="background1" w:themeShade="A6"/>
          <w:sz w:val="12"/>
        </w:rPr>
        <w:t>it is not. It's a question before a legislative body. Should this statement be adopted or -not. (5</w:t>
      </w:r>
      <w:r w:rsidRPr="004357ED">
        <w:rPr>
          <w:color w:val="A6A6A6" w:themeColor="background1" w:themeShade="A6"/>
          <w:sz w:val="12"/>
        </w:rPr>
        <w:t xml:space="preserve">) </w:t>
      </w:r>
      <w:r w:rsidRPr="00153539">
        <w:rPr>
          <w:b/>
          <w:u w:val="single"/>
        </w:rPr>
        <w:t>The very terms 'aff</w:t>
      </w:r>
      <w:r w:rsidRPr="004E0E35">
        <w:rPr>
          <w:b/>
          <w:u w:val="single"/>
        </w:rPr>
        <w:t xml:space="preserve">irmative' </w:t>
      </w:r>
      <w:r w:rsidRPr="00153539">
        <w:rPr>
          <w:b/>
          <w:u w:val="single"/>
        </w:rPr>
        <w:t>and 'negative' support my view</w:t>
      </w:r>
      <w:r w:rsidRPr="004357ED">
        <w:rPr>
          <w:color w:val="A6A6A6" w:themeColor="background1" w:themeShade="A6"/>
          <w:sz w:val="12"/>
        </w:rPr>
        <w:t xml:space="preserve">. One affirms a resolution. </w:t>
      </w:r>
      <w:r w:rsidRPr="00153539">
        <w:rPr>
          <w:b/>
          <w:u w:val="single"/>
        </w:rPr>
        <w:t>Aff</w:t>
      </w:r>
      <w:r w:rsidRPr="004357ED">
        <w:rPr>
          <w:color w:val="A6A6A6" w:themeColor="background1" w:themeShade="A6"/>
          <w:sz w:val="12"/>
        </w:rPr>
        <w:t xml:space="preserve">irmative </w:t>
      </w:r>
      <w:r w:rsidRPr="00153539">
        <w:rPr>
          <w:b/>
          <w:u w:val="single"/>
        </w:rPr>
        <w:t>and neg</w:t>
      </w:r>
      <w:r w:rsidRPr="004357ED">
        <w:rPr>
          <w:color w:val="A6A6A6" w:themeColor="background1" w:themeShade="A6"/>
          <w:sz w:val="12"/>
        </w:rPr>
        <w:t xml:space="preserve">ative </w:t>
      </w:r>
      <w:r w:rsidRPr="00153539">
        <w:rPr>
          <w:b/>
          <w:u w:val="single"/>
        </w:rPr>
        <w:t xml:space="preserve">are the equivalents of 'yes' or 'no' </w:t>
      </w:r>
      <w:r w:rsidRPr="004357ED">
        <w:rPr>
          <w:color w:val="A6A6A6" w:themeColor="background1" w:themeShade="A6"/>
          <w:sz w:val="12"/>
        </w:rPr>
        <w:t>- which. of course. are answers to a question.</w:t>
      </w:r>
    </w:p>
    <w:p w:rsidR="004845A9" w:rsidRDefault="004845A9" w:rsidP="00607A47"/>
    <w:p w:rsidR="00267B0A" w:rsidRDefault="00267B0A" w:rsidP="00607A47"/>
    <w:p w:rsidR="00267B0A" w:rsidRPr="00267B0A" w:rsidRDefault="00267B0A" w:rsidP="00267B0A">
      <w:pPr>
        <w:pStyle w:val="Heading2"/>
        <w:spacing w:before="0"/>
        <w:jc w:val="center"/>
        <w:rPr>
          <w:rFonts w:ascii="Georgia" w:hAnsi="Georgia"/>
          <w:color w:val="auto"/>
          <w:sz w:val="24"/>
          <w:u w:val="single"/>
        </w:rPr>
      </w:pPr>
      <w:r>
        <w:rPr>
          <w:rFonts w:ascii="Georgia" w:hAnsi="Georgia"/>
          <w:color w:val="auto"/>
          <w:sz w:val="24"/>
          <w:u w:val="single"/>
        </w:rPr>
        <w:t>AT We’re Not Policymakers</w:t>
      </w:r>
    </w:p>
    <w:p w:rsidR="00267B0A" w:rsidRDefault="00267B0A" w:rsidP="00607A47">
      <w:r>
        <w:t>1. That’s irrelevant. My voter is about criminal justice education.</w:t>
      </w:r>
    </w:p>
    <w:p w:rsidR="00267B0A" w:rsidRDefault="00267B0A" w:rsidP="00607A47">
      <w:r>
        <w:t>2. Extend Nielsen 11. A huge percent of debaters go into law where CJS policy research is valuable.</w:t>
      </w:r>
    </w:p>
    <w:p w:rsidR="00267B0A" w:rsidRDefault="00267B0A" w:rsidP="00607A47">
      <w:r>
        <w:t>3. TURN – extend Emmons and Nutt 95. CJS policy is key to values education. Students learn best with concrete scenarios.</w:t>
      </w:r>
    </w:p>
    <w:p w:rsidR="00267B0A" w:rsidRPr="00153539" w:rsidRDefault="00267B0A" w:rsidP="00267B0A">
      <w:r>
        <w:t xml:space="preserve">4. TURN – the fact that we’re not all policymakers supercharges my argument. Debate is the only chance many students will have to get policy-making experience which is key to critical thinking and values education. </w:t>
      </w:r>
      <w:r w:rsidRPr="004357ED">
        <w:rPr>
          <w:b/>
          <w:u w:val="single"/>
        </w:rPr>
        <w:t>Keller 1</w:t>
      </w:r>
      <w:r>
        <w:t xml:space="preserve"> writes</w:t>
      </w:r>
      <w:r>
        <w:rPr>
          <w:rStyle w:val="FootnoteReference"/>
        </w:rPr>
        <w:footnoteReference w:id="13"/>
      </w:r>
    </w:p>
    <w:p w:rsidR="00267B0A" w:rsidRPr="004357ED" w:rsidRDefault="00267B0A" w:rsidP="00267B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4357ED">
        <w:rPr>
          <w:color w:val="A6A6A6" w:themeColor="background1" w:themeShade="A6"/>
          <w:sz w:val="12"/>
        </w:rPr>
        <w:t xml:space="preserve">Experiential learning, in the form of the practicum placement, is a key element in social work education. However, few social work students enroll in political or policy oriented practicum. In a survey of 161 CSWE-accredited programs (131 BSW, 30 MSW), Wolk and colleagues (1996) found that less than half offered practice in government relations (BSW=20%, MSW=47%) and even fewer had placements in policy advocacy/development (BSW=15%, MSW=33%). Moreover, programs typically reported only one or two students participating in these types of placements, with the largest representation at a single school being 9 out of 250 MSW students (Wolk et al., 1996). </w:t>
      </w:r>
      <w:r w:rsidRPr="00153539">
        <w:rPr>
          <w:b/>
          <w:u w:val="single"/>
        </w:rPr>
        <w:t>Because few students receive policy</w:t>
      </w:r>
      <w:r w:rsidRPr="004357ED">
        <w:rPr>
          <w:color w:val="A6A6A6" w:themeColor="background1" w:themeShade="A6"/>
          <w:sz w:val="12"/>
        </w:rPr>
        <w:t xml:space="preserve">-related field </w:t>
      </w:r>
      <w:r w:rsidRPr="00153539">
        <w:rPr>
          <w:b/>
          <w:u w:val="single"/>
        </w:rPr>
        <w:t>education, introducing students to policy</w:t>
      </w:r>
      <w:r w:rsidRPr="004357ED">
        <w:rPr>
          <w:color w:val="A6A6A6" w:themeColor="background1" w:themeShade="A6"/>
          <w:sz w:val="12"/>
        </w:rPr>
        <w:t xml:space="preserve"> relevant </w:t>
      </w:r>
      <w:r w:rsidRPr="00153539">
        <w:rPr>
          <w:b/>
          <w:u w:val="single"/>
        </w:rPr>
        <w:t>skills</w:t>
      </w:r>
      <w:r w:rsidRPr="00267B0A">
        <w:rPr>
          <w:color w:val="A6A6A6" w:themeColor="background1" w:themeShade="A6"/>
          <w:sz w:val="12"/>
        </w:rPr>
        <w:t xml:space="preserve"> and experiences via </w:t>
      </w:r>
      <w:r w:rsidRPr="004357ED">
        <w:rPr>
          <w:color w:val="A6A6A6" w:themeColor="background1" w:themeShade="A6"/>
          <w:sz w:val="12"/>
        </w:rPr>
        <w:t xml:space="preserve">active learning exercises in the classroom </w:t>
      </w:r>
      <w:r w:rsidRPr="00153539">
        <w:rPr>
          <w:b/>
          <w:u w:val="single"/>
        </w:rPr>
        <w:t>assumes greater importance</w:t>
      </w:r>
      <w:r w:rsidRPr="004357ED">
        <w:rPr>
          <w:color w:val="A6A6A6" w:themeColor="background1" w:themeShade="A6"/>
          <w:sz w:val="12"/>
        </w:rPr>
        <w:t xml:space="preserve">. Bonwell and Eison (1991) describe the general characteristics of active learning in the classroom: Students are involved in more than listening. Less emphasis is placed on transmitting information and more on developing students' skills. Students are involved in higher-order thinking (analysis, synthesis, evaluation). Students are engaged in activities. Greater emphasis is placed on students' exploration of their own attitudes and values. (p. 2) </w:t>
      </w:r>
      <w:r w:rsidRPr="00153539">
        <w:rPr>
          <w:b/>
          <w:u w:val="single"/>
        </w:rPr>
        <w:t>Experiential learning</w:t>
      </w:r>
      <w:r w:rsidRPr="004357ED">
        <w:rPr>
          <w:color w:val="A6A6A6" w:themeColor="background1" w:themeShade="A6"/>
          <w:sz w:val="12"/>
        </w:rPr>
        <w:t xml:space="preserve"> in the classroom </w:t>
      </w:r>
      <w:r w:rsidRPr="00153539">
        <w:rPr>
          <w:b/>
          <w:u w:val="single"/>
        </w:rPr>
        <w:t>may involve</w:t>
      </w:r>
      <w:r w:rsidRPr="004357ED">
        <w:rPr>
          <w:color w:val="A6A6A6" w:themeColor="background1" w:themeShade="A6"/>
          <w:sz w:val="12"/>
        </w:rPr>
        <w:t xml:space="preserve"> case studies, role plays, </w:t>
      </w:r>
      <w:r w:rsidRPr="00153539">
        <w:rPr>
          <w:b/>
          <w:u w:val="single"/>
        </w:rPr>
        <w:t>debates</w:t>
      </w:r>
      <w:r w:rsidRPr="004357ED">
        <w:rPr>
          <w:color w:val="A6A6A6" w:themeColor="background1" w:themeShade="A6"/>
          <w:sz w:val="12"/>
        </w:rPr>
        <w:t xml:space="preserve">, simulations, or other activities </w:t>
      </w:r>
      <w:r w:rsidRPr="00153539">
        <w:rPr>
          <w:b/>
          <w:u w:val="single"/>
        </w:rPr>
        <w:t>that allow students to make connections among theory, knowledge, and experience</w:t>
      </w:r>
      <w:r w:rsidRPr="004357ED">
        <w:rPr>
          <w:color w:val="A6A6A6" w:themeColor="background1" w:themeShade="A6"/>
          <w:sz w:val="12"/>
        </w:rPr>
        <w:t xml:space="preserve"> (Lewis &amp; Williams, 1994). </w:t>
      </w:r>
      <w:r w:rsidRPr="00153539">
        <w:rPr>
          <w:b/>
          <w:u w:val="single"/>
        </w:rPr>
        <w:t>These</w:t>
      </w:r>
      <w:r w:rsidRPr="00267B0A">
        <w:rPr>
          <w:color w:val="A6A6A6" w:themeColor="background1" w:themeShade="A6"/>
          <w:sz w:val="12"/>
        </w:rPr>
        <w:t xml:space="preserve"> </w:t>
      </w:r>
      <w:r w:rsidRPr="004357ED">
        <w:rPr>
          <w:color w:val="A6A6A6" w:themeColor="background1" w:themeShade="A6"/>
          <w:sz w:val="12"/>
        </w:rPr>
        <w:t xml:space="preserve">active learning strategies </w:t>
      </w:r>
      <w:r w:rsidRPr="00153539">
        <w:rPr>
          <w:b/>
          <w:u w:val="single"/>
        </w:rPr>
        <w:t>encourage students to</w:t>
      </w:r>
      <w:r w:rsidRPr="004357ED">
        <w:rPr>
          <w:color w:val="A6A6A6" w:themeColor="background1" w:themeShade="A6"/>
          <w:sz w:val="12"/>
        </w:rPr>
        <w:t xml:space="preserve"> think on their feet, to </w:t>
      </w:r>
      <w:r w:rsidRPr="00153539">
        <w:rPr>
          <w:b/>
          <w:u w:val="single"/>
        </w:rPr>
        <w:t>question their</w:t>
      </w:r>
      <w:r w:rsidRPr="00267B0A">
        <w:rPr>
          <w:color w:val="A6A6A6" w:themeColor="background1" w:themeShade="A6"/>
          <w:sz w:val="12"/>
        </w:rPr>
        <w:t xml:space="preserve"> </w:t>
      </w:r>
      <w:r w:rsidRPr="004357ED">
        <w:rPr>
          <w:color w:val="A6A6A6" w:themeColor="background1" w:themeShade="A6"/>
          <w:sz w:val="12"/>
        </w:rPr>
        <w:t xml:space="preserve">own </w:t>
      </w:r>
      <w:r w:rsidRPr="00153539">
        <w:rPr>
          <w:b/>
          <w:u w:val="single"/>
        </w:rPr>
        <w:t>values</w:t>
      </w:r>
      <w:r w:rsidRPr="004357ED">
        <w:rPr>
          <w:color w:val="A6A6A6" w:themeColor="background1" w:themeShade="A6"/>
          <w:sz w:val="12"/>
        </w:rPr>
        <w:t xml:space="preserve"> and responses to situations, </w:t>
      </w:r>
      <w:r w:rsidRPr="00153539">
        <w:rPr>
          <w:b/>
          <w:u w:val="single"/>
        </w:rPr>
        <w:t>and</w:t>
      </w:r>
      <w:r w:rsidRPr="004357ED">
        <w:rPr>
          <w:color w:val="A6A6A6" w:themeColor="background1" w:themeShade="A6"/>
          <w:sz w:val="12"/>
        </w:rPr>
        <w:t xml:space="preserve"> to </w:t>
      </w:r>
      <w:r w:rsidRPr="00153539">
        <w:rPr>
          <w:b/>
          <w:u w:val="single"/>
        </w:rPr>
        <w:t>consider new ways of thinking</w:t>
      </w:r>
      <w:r w:rsidRPr="004357ED">
        <w:rPr>
          <w:color w:val="A6A6A6" w:themeColor="background1" w:themeShade="A6"/>
          <w:sz w:val="12"/>
        </w:rPr>
        <w:t xml:space="preserve"> in contexts which they may experience more intensely and, consequently, may remember longer (Meyers &amp; Jones, 1993). </w:t>
      </w:r>
    </w:p>
    <w:p w:rsidR="00267B0A" w:rsidRDefault="00267B0A" w:rsidP="00607A47"/>
    <w:p w:rsidR="00B2706F" w:rsidRDefault="00B2706F">
      <w:r>
        <w:br w:type="page"/>
      </w:r>
    </w:p>
    <w:p w:rsidR="00B2706F" w:rsidRPr="00B2706F" w:rsidRDefault="00B2706F" w:rsidP="00B2706F">
      <w:pPr>
        <w:keepNext/>
        <w:keepLines/>
        <w:jc w:val="center"/>
        <w:outlineLvl w:val="1"/>
        <w:rPr>
          <w:rFonts w:eastAsia="Times New Roman" w:cs="Times New Roman"/>
          <w:b/>
          <w:bCs/>
          <w:szCs w:val="26"/>
          <w:u w:val="single"/>
        </w:rPr>
      </w:pPr>
      <w:r w:rsidRPr="00B2706F">
        <w:rPr>
          <w:rFonts w:eastAsia="Times New Roman" w:cs="Times New Roman"/>
          <w:b/>
          <w:bCs/>
          <w:szCs w:val="26"/>
          <w:u w:val="single"/>
        </w:rPr>
        <w:lastRenderedPageBreak/>
        <w:t>Education Outweighs Fairness</w:t>
      </w:r>
    </w:p>
    <w:p w:rsidR="00B2706F" w:rsidRPr="00B2706F" w:rsidRDefault="00B2706F" w:rsidP="00B2706F">
      <w:pPr>
        <w:rPr>
          <w:rFonts w:eastAsia="Calibri" w:cs="Times New Roman"/>
          <w:szCs w:val="24"/>
        </w:rPr>
      </w:pPr>
    </w:p>
    <w:p w:rsidR="00B2706F" w:rsidRPr="00B2706F" w:rsidRDefault="00B2706F" w:rsidP="00B2706F">
      <w:r w:rsidRPr="00B2706F">
        <w:t>Education comes first:</w:t>
      </w:r>
    </w:p>
    <w:p w:rsidR="00B2706F" w:rsidRPr="00B2706F" w:rsidRDefault="00B2706F" w:rsidP="00B2706F">
      <w:pPr>
        <w:rPr>
          <w:rFonts w:eastAsia="Calibri" w:cs="Times New Roman"/>
          <w:szCs w:val="24"/>
        </w:rPr>
      </w:pPr>
      <w:r w:rsidRPr="00B2706F">
        <w:rPr>
          <w:rFonts w:eastAsia="Calibri" w:cs="Times New Roman"/>
          <w:szCs w:val="24"/>
        </w:rPr>
        <w:t>(a) fairness only matters until you sign your ballot. Education has out of round impacts.</w:t>
      </w:r>
    </w:p>
    <w:p w:rsidR="00B2706F" w:rsidRPr="00B2706F" w:rsidRDefault="00B2706F" w:rsidP="00B2706F">
      <w:pPr>
        <w:rPr>
          <w:rFonts w:eastAsia="Calibri" w:cs="Times New Roman"/>
          <w:szCs w:val="24"/>
        </w:rPr>
      </w:pPr>
      <w:r w:rsidRPr="00B2706F">
        <w:rPr>
          <w:rFonts w:eastAsia="Calibri" w:cs="Times New Roman"/>
          <w:szCs w:val="24"/>
        </w:rPr>
        <w:t>(b) Education is more quantifiable whereas fairness is subjective.</w:t>
      </w:r>
    </w:p>
    <w:p w:rsidR="00B2706F" w:rsidRPr="00B2706F" w:rsidRDefault="00B2706F" w:rsidP="00B2706F">
      <w:pPr>
        <w:rPr>
          <w:rFonts w:eastAsia="Calibri" w:cs="Times New Roman"/>
          <w:szCs w:val="24"/>
        </w:rPr>
      </w:pPr>
      <w:r w:rsidRPr="00B2706F">
        <w:rPr>
          <w:rFonts w:eastAsia="Calibri" w:cs="Times New Roman"/>
          <w:szCs w:val="24"/>
        </w:rPr>
        <w:t>(c) Complete fairness is impossible. Side bias and resource disparities are inevitable.</w:t>
      </w:r>
    </w:p>
    <w:p w:rsidR="00B2706F" w:rsidRPr="00B2706F" w:rsidRDefault="00B2706F" w:rsidP="00B2706F">
      <w:pPr>
        <w:rPr>
          <w:rFonts w:eastAsia="Calibri" w:cs="Times New Roman"/>
          <w:szCs w:val="24"/>
        </w:rPr>
      </w:pPr>
      <w:r w:rsidRPr="00B2706F">
        <w:rPr>
          <w:rFonts w:eastAsia="Calibri" w:cs="Times New Roman"/>
          <w:szCs w:val="24"/>
        </w:rPr>
        <w:t>(d) If you want fairness, play a board game.</w:t>
      </w:r>
    </w:p>
    <w:p w:rsidR="00B2706F" w:rsidRPr="00B2706F" w:rsidRDefault="00B2706F" w:rsidP="00B2706F">
      <w:pPr>
        <w:tabs>
          <w:tab w:val="left" w:pos="1755"/>
        </w:tabs>
        <w:contextualSpacing/>
        <w:rPr>
          <w:rFonts w:eastAsia="Calibri" w:cs="Times New Roman"/>
          <w:szCs w:val="24"/>
        </w:rPr>
      </w:pPr>
    </w:p>
    <w:p w:rsidR="00B2706F" w:rsidRPr="00B2706F" w:rsidRDefault="00B2706F" w:rsidP="00B2706F">
      <w:pPr>
        <w:keepNext/>
        <w:keepLines/>
        <w:jc w:val="center"/>
        <w:outlineLvl w:val="1"/>
        <w:rPr>
          <w:rFonts w:eastAsia="Times New Roman" w:cs="Times New Roman"/>
          <w:b/>
          <w:bCs/>
          <w:szCs w:val="26"/>
          <w:u w:val="single"/>
        </w:rPr>
      </w:pPr>
      <w:r w:rsidRPr="00B2706F">
        <w:rPr>
          <w:rFonts w:eastAsia="Times New Roman" w:cs="Times New Roman"/>
          <w:b/>
          <w:bCs/>
          <w:szCs w:val="26"/>
          <w:u w:val="single"/>
        </w:rPr>
        <w:t>Side Bias Overview</w:t>
      </w: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Err neg on theory. Aff won 6% more rounds at Sunvite which proves that this topic has an aff bias. Also, aff speaks first and last and has infinite prep time which outweighs any time skew.</w:t>
      </w:r>
    </w:p>
    <w:p w:rsidR="00B2706F" w:rsidRPr="00B2706F" w:rsidRDefault="00B2706F" w:rsidP="00B2706F">
      <w:pPr>
        <w:tabs>
          <w:tab w:val="left" w:pos="1755"/>
        </w:tabs>
        <w:contextualSpacing/>
        <w:rPr>
          <w:rFonts w:eastAsia="Calibri" w:cs="Times New Roman"/>
          <w:szCs w:val="24"/>
        </w:rPr>
      </w:pPr>
    </w:p>
    <w:p w:rsidR="00B2706F" w:rsidRPr="00B2706F" w:rsidRDefault="00B2706F" w:rsidP="00B2706F">
      <w:pPr>
        <w:keepNext/>
        <w:keepLines/>
        <w:jc w:val="center"/>
        <w:outlineLvl w:val="1"/>
        <w:rPr>
          <w:rFonts w:eastAsia="Times New Roman" w:cs="Times New Roman"/>
          <w:b/>
          <w:bCs/>
          <w:szCs w:val="26"/>
          <w:u w:val="single"/>
        </w:rPr>
      </w:pPr>
      <w:r w:rsidRPr="00B2706F">
        <w:rPr>
          <w:rFonts w:eastAsia="Times New Roman" w:cs="Times New Roman"/>
          <w:b/>
          <w:bCs/>
          <w:szCs w:val="26"/>
          <w:u w:val="single"/>
        </w:rPr>
        <w:t>AT Reciprocity</w:t>
      </w:r>
    </w:p>
    <w:p w:rsidR="00B2706F" w:rsidRPr="00B2706F" w:rsidRDefault="00B2706F" w:rsidP="00B2706F">
      <w:pPr>
        <w:tabs>
          <w:tab w:val="left" w:pos="1755"/>
        </w:tabs>
        <w:contextualSpacing/>
        <w:rPr>
          <w:rFonts w:eastAsia="Calibri" w:cs="Times New Roman"/>
          <w:sz w:val="8"/>
          <w:szCs w:val="24"/>
        </w:rPr>
      </w:pP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1. My interpretation is completely reciprocal. Both sides defend comparative offense to an advocacy and weigh.</w:t>
      </w:r>
    </w:p>
    <w:p w:rsidR="00B2706F" w:rsidRPr="00B2706F" w:rsidRDefault="00B2706F" w:rsidP="00B2706F">
      <w:pPr>
        <w:tabs>
          <w:tab w:val="left" w:pos="1755"/>
        </w:tabs>
        <w:contextualSpacing/>
        <w:rPr>
          <w:rFonts w:eastAsia="Calibri" w:cs="Times New Roman"/>
          <w:sz w:val="12"/>
          <w:szCs w:val="24"/>
        </w:rPr>
      </w:pP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2. Aff doesn’t have to win multiple levels. He can concede the top level and turn it.</w:t>
      </w:r>
    </w:p>
    <w:p w:rsidR="00B2706F" w:rsidRPr="00B2706F" w:rsidRDefault="00B2706F" w:rsidP="00B2706F">
      <w:pPr>
        <w:tabs>
          <w:tab w:val="left" w:pos="1755"/>
        </w:tabs>
        <w:contextualSpacing/>
        <w:rPr>
          <w:rFonts w:eastAsia="Calibri" w:cs="Times New Roman"/>
          <w:sz w:val="8"/>
          <w:szCs w:val="24"/>
        </w:rPr>
      </w:pP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 xml:space="preserve">3. Turn – aff interpretation is unreciprocal. I can’t turn the aff because </w:t>
      </w:r>
      <w:r w:rsidR="003F6ECA">
        <w:rPr>
          <w:rFonts w:eastAsia="Calibri" w:cs="Times New Roman"/>
          <w:szCs w:val="24"/>
        </w:rPr>
        <w:t>the aff definition forces me to defend only backwards-looking offense for retribution.</w:t>
      </w:r>
    </w:p>
    <w:p w:rsidR="00B2706F" w:rsidRPr="00B2706F" w:rsidRDefault="00B2706F" w:rsidP="00B2706F">
      <w:pPr>
        <w:tabs>
          <w:tab w:val="left" w:pos="1755"/>
        </w:tabs>
        <w:contextualSpacing/>
        <w:rPr>
          <w:rFonts w:eastAsia="Calibri" w:cs="Times New Roman"/>
          <w:sz w:val="8"/>
          <w:szCs w:val="24"/>
        </w:rPr>
      </w:pP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4. Even if the aff interp is quantitatively reciprocal, his ground is qualitatively far better. Rehab has much better philosophical grounding than retribution. The best objections are about implementation.</w:t>
      </w:r>
    </w:p>
    <w:p w:rsidR="00B2706F" w:rsidRPr="00B2706F" w:rsidRDefault="00B2706F" w:rsidP="00B2706F">
      <w:pPr>
        <w:tabs>
          <w:tab w:val="left" w:pos="1755"/>
        </w:tabs>
        <w:contextualSpacing/>
        <w:rPr>
          <w:rFonts w:eastAsia="Calibri" w:cs="Times New Roman"/>
          <w:sz w:val="12"/>
          <w:szCs w:val="24"/>
        </w:rPr>
      </w:pPr>
    </w:p>
    <w:p w:rsidR="00B2706F" w:rsidRPr="00B2706F" w:rsidRDefault="00B2706F" w:rsidP="00B2706F">
      <w:pPr>
        <w:tabs>
          <w:tab w:val="left" w:pos="1755"/>
        </w:tabs>
        <w:contextualSpacing/>
        <w:rPr>
          <w:rFonts w:eastAsia="Calibri" w:cs="Times New Roman"/>
          <w:szCs w:val="24"/>
        </w:rPr>
      </w:pPr>
      <w:r w:rsidRPr="00B2706F">
        <w:rPr>
          <w:rFonts w:eastAsia="Calibri" w:cs="Times New Roman"/>
          <w:szCs w:val="24"/>
        </w:rPr>
        <w:t>5. No impact in context. I would have just conceded util.</w:t>
      </w:r>
    </w:p>
    <w:p w:rsidR="00B2706F" w:rsidRPr="00B2706F" w:rsidRDefault="00B2706F" w:rsidP="00B2706F">
      <w:pPr>
        <w:tabs>
          <w:tab w:val="left" w:pos="1755"/>
        </w:tabs>
        <w:contextualSpacing/>
        <w:rPr>
          <w:rFonts w:eastAsia="Calibri" w:cs="Times New Roman"/>
          <w:szCs w:val="24"/>
        </w:rPr>
      </w:pPr>
    </w:p>
    <w:p w:rsidR="00B2706F" w:rsidRPr="00B2706F" w:rsidRDefault="00B2706F" w:rsidP="00B2706F">
      <w:pPr>
        <w:keepNext/>
        <w:keepLines/>
        <w:jc w:val="center"/>
        <w:outlineLvl w:val="1"/>
        <w:rPr>
          <w:rFonts w:eastAsia="Times New Roman" w:cs="Times New Roman"/>
          <w:b/>
          <w:bCs/>
          <w:szCs w:val="26"/>
          <w:u w:val="single"/>
        </w:rPr>
      </w:pPr>
      <w:r w:rsidRPr="00B2706F">
        <w:rPr>
          <w:rFonts w:eastAsia="Times New Roman" w:cs="Times New Roman"/>
          <w:b/>
          <w:bCs/>
          <w:szCs w:val="26"/>
          <w:u w:val="single"/>
        </w:rPr>
        <w:t>AT Aff Key to Textuality</w:t>
      </w:r>
    </w:p>
    <w:p w:rsidR="00B2706F" w:rsidRPr="00B2706F" w:rsidRDefault="00B2706F" w:rsidP="00B2706F">
      <w:pPr>
        <w:rPr>
          <w:rFonts w:eastAsia="Calibri" w:cs="Times New Roman"/>
          <w:szCs w:val="24"/>
        </w:rPr>
      </w:pPr>
      <w:r w:rsidRPr="00B2706F">
        <w:rPr>
          <w:rFonts w:eastAsia="Calibri" w:cs="Times New Roman"/>
          <w:szCs w:val="24"/>
        </w:rPr>
        <w:t xml:space="preserve">Util isn’t textual aff ground. Retribution can be reconciled with util. It’s a pragmatic question. </w:t>
      </w:r>
      <w:r w:rsidRPr="00B2706F">
        <w:rPr>
          <w:rFonts w:eastAsia="Calibri" w:cs="Times New Roman"/>
          <w:b/>
          <w:szCs w:val="24"/>
          <w:u w:val="single"/>
        </w:rPr>
        <w:t>Rawls 55</w:t>
      </w:r>
      <w:r w:rsidRPr="00B2706F">
        <w:rPr>
          <w:rFonts w:eastAsia="Calibri" w:cs="Times New Roman"/>
          <w:szCs w:val="24"/>
          <w:vertAlign w:val="superscript"/>
        </w:rPr>
        <w:footnoteReference w:id="14"/>
      </w:r>
    </w:p>
    <w:p w:rsidR="00B2706F" w:rsidRPr="00B2706F" w:rsidRDefault="00B2706F" w:rsidP="00B2706F">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B2706F">
        <w:rPr>
          <w:rFonts w:eastAsia="Calibri" w:cs="Times New Roman"/>
          <w:color w:val="A6A6A6"/>
          <w:sz w:val="12"/>
          <w:szCs w:val="24"/>
        </w:rPr>
        <w:t>On the other hand</w:t>
      </w:r>
      <w:r w:rsidRPr="00B2706F">
        <w:rPr>
          <w:rFonts w:eastAsia="Calibri" w:cs="Times New Roman"/>
          <w:szCs w:val="24"/>
        </w:rPr>
        <w:t xml:space="preserve"> </w:t>
      </w:r>
      <w:r w:rsidRPr="00B2706F">
        <w:rPr>
          <w:rFonts w:eastAsia="Calibri" w:cs="Times New Roman"/>
          <w:b/>
          <w:szCs w:val="24"/>
          <w:u w:val="single"/>
        </w:rPr>
        <w:t>we have</w:t>
      </w:r>
      <w:r w:rsidRPr="00B2706F">
        <w:rPr>
          <w:rFonts w:eastAsia="Calibri" w:cs="Times New Roman"/>
          <w:szCs w:val="24"/>
        </w:rPr>
        <w:t xml:space="preserve"> </w:t>
      </w:r>
      <w:r w:rsidRPr="00B2706F">
        <w:rPr>
          <w:rFonts w:eastAsia="Calibri" w:cs="Times New Roman"/>
          <w:color w:val="A6A6A6"/>
          <w:sz w:val="12"/>
          <w:szCs w:val="24"/>
        </w:rPr>
        <w:t>the institution of</w:t>
      </w:r>
      <w:r w:rsidRPr="00B2706F">
        <w:rPr>
          <w:rFonts w:eastAsia="Calibri" w:cs="Times New Roman"/>
          <w:szCs w:val="24"/>
        </w:rPr>
        <w:t xml:space="preserve"> </w:t>
      </w:r>
      <w:r w:rsidRPr="00B2706F">
        <w:rPr>
          <w:rFonts w:eastAsia="Calibri" w:cs="Times New Roman"/>
          <w:b/>
          <w:szCs w:val="24"/>
          <w:u w:val="single"/>
        </w:rPr>
        <w:t>punishment</w:t>
      </w:r>
      <w:r w:rsidRPr="00B2706F">
        <w:rPr>
          <w:rFonts w:eastAsia="Calibri" w:cs="Times New Roman"/>
          <w:szCs w:val="24"/>
        </w:rPr>
        <w:t xml:space="preserve"> </w:t>
      </w:r>
      <w:r w:rsidRPr="00B2706F">
        <w:rPr>
          <w:rFonts w:eastAsia="Calibri" w:cs="Times New Roman"/>
          <w:color w:val="A6A6A6"/>
          <w:sz w:val="12"/>
          <w:szCs w:val="24"/>
        </w:rPr>
        <w:t>itself, and recommend and accept various changes to it,</w:t>
      </w:r>
      <w:r w:rsidRPr="00B2706F">
        <w:rPr>
          <w:rFonts w:eastAsia="Calibri" w:cs="Times New Roman"/>
          <w:szCs w:val="24"/>
        </w:rPr>
        <w:t xml:space="preserve"> </w:t>
      </w:r>
      <w:r w:rsidRPr="00B2706F">
        <w:rPr>
          <w:rFonts w:eastAsia="Calibri" w:cs="Times New Roman"/>
          <w:b/>
          <w:szCs w:val="24"/>
          <w:u w:val="single"/>
        </w:rPr>
        <w:t>because it is thought by the</w:t>
      </w:r>
      <w:r w:rsidRPr="00B2706F">
        <w:rPr>
          <w:rFonts w:eastAsia="Calibri" w:cs="Times New Roman"/>
          <w:szCs w:val="24"/>
        </w:rPr>
        <w:t xml:space="preserve"> </w:t>
      </w:r>
      <w:r w:rsidRPr="00B2706F">
        <w:rPr>
          <w:rFonts w:eastAsia="Calibri" w:cs="Times New Roman"/>
          <w:color w:val="A6A6A6"/>
          <w:sz w:val="12"/>
          <w:szCs w:val="24"/>
        </w:rPr>
        <w:t>(ideal)</w:t>
      </w:r>
      <w:r w:rsidRPr="00B2706F">
        <w:rPr>
          <w:rFonts w:eastAsia="Calibri" w:cs="Times New Roman"/>
          <w:szCs w:val="24"/>
        </w:rPr>
        <w:t xml:space="preserve"> </w:t>
      </w:r>
      <w:r w:rsidRPr="00B2706F">
        <w:rPr>
          <w:rFonts w:eastAsia="Calibri" w:cs="Times New Roman"/>
          <w:b/>
          <w:szCs w:val="24"/>
          <w:u w:val="single"/>
        </w:rPr>
        <w:t>legislator</w:t>
      </w:r>
      <w:r w:rsidRPr="00B2706F">
        <w:rPr>
          <w:rFonts w:eastAsia="Calibri" w:cs="Times New Roman"/>
          <w:szCs w:val="24"/>
        </w:rPr>
        <w:t xml:space="preserve"> </w:t>
      </w:r>
      <w:r w:rsidRPr="00B2706F">
        <w:rPr>
          <w:rFonts w:eastAsia="Calibri" w:cs="Times New Roman"/>
          <w:color w:val="A6A6A6"/>
          <w:sz w:val="12"/>
          <w:szCs w:val="24"/>
        </w:rPr>
        <w:t>and by those to whom the law applies</w:t>
      </w:r>
      <w:r w:rsidRPr="00B2706F">
        <w:rPr>
          <w:rFonts w:eastAsia="Calibri" w:cs="Times New Roman"/>
          <w:szCs w:val="24"/>
        </w:rPr>
        <w:t xml:space="preserve"> </w:t>
      </w:r>
      <w:r w:rsidRPr="00B2706F">
        <w:rPr>
          <w:rFonts w:eastAsia="Calibri" w:cs="Times New Roman"/>
          <w:b/>
          <w:szCs w:val="24"/>
          <w:u w:val="single"/>
        </w:rPr>
        <w:t>that</w:t>
      </w:r>
      <w:r w:rsidRPr="00B2706F">
        <w:rPr>
          <w:rFonts w:eastAsia="Calibri" w:cs="Times New Roman"/>
          <w:color w:val="A6A6A6"/>
          <w:sz w:val="12"/>
          <w:szCs w:val="24"/>
        </w:rPr>
        <w:t>, as a part of a system of law impartially applied from case to case arising under it,</w:t>
      </w:r>
      <w:r w:rsidRPr="00B2706F">
        <w:rPr>
          <w:rFonts w:eastAsia="Calibri" w:cs="Times New Roman"/>
          <w:szCs w:val="24"/>
        </w:rPr>
        <w:t xml:space="preserve"> </w:t>
      </w:r>
      <w:r w:rsidRPr="00B2706F">
        <w:rPr>
          <w:rFonts w:eastAsia="Calibri" w:cs="Times New Roman"/>
          <w:b/>
          <w:szCs w:val="24"/>
          <w:u w:val="single"/>
        </w:rPr>
        <w:t>it will have the consequence</w:t>
      </w:r>
      <w:r w:rsidRPr="00B2706F">
        <w:rPr>
          <w:rFonts w:eastAsia="Calibri" w:cs="Times New Roman"/>
          <w:color w:val="A6A6A6"/>
          <w:sz w:val="12"/>
          <w:szCs w:val="24"/>
        </w:rPr>
        <w:t>, in the long run,</w:t>
      </w:r>
      <w:r w:rsidRPr="00B2706F">
        <w:rPr>
          <w:rFonts w:eastAsia="Calibri" w:cs="Times New Roman"/>
          <w:szCs w:val="24"/>
        </w:rPr>
        <w:t xml:space="preserve"> </w:t>
      </w:r>
      <w:r w:rsidRPr="00B2706F">
        <w:rPr>
          <w:rFonts w:eastAsia="Calibri" w:cs="Times New Roman"/>
          <w:b/>
          <w:szCs w:val="24"/>
          <w:u w:val="single"/>
        </w:rPr>
        <w:t>of furthering</w:t>
      </w:r>
      <w:r w:rsidRPr="00B2706F">
        <w:rPr>
          <w:rFonts w:eastAsia="Calibri" w:cs="Times New Roman"/>
          <w:szCs w:val="24"/>
        </w:rPr>
        <w:t xml:space="preserve"> </w:t>
      </w:r>
      <w:r w:rsidRPr="00B2706F">
        <w:rPr>
          <w:rFonts w:eastAsia="Calibri" w:cs="Times New Roman"/>
          <w:color w:val="A6A6A6"/>
          <w:sz w:val="12"/>
          <w:szCs w:val="24"/>
        </w:rPr>
        <w:t>the</w:t>
      </w:r>
      <w:r w:rsidRPr="00B2706F">
        <w:rPr>
          <w:rFonts w:eastAsia="Calibri" w:cs="Times New Roman"/>
          <w:szCs w:val="24"/>
        </w:rPr>
        <w:t xml:space="preserve"> </w:t>
      </w:r>
      <w:r w:rsidRPr="00B2706F">
        <w:rPr>
          <w:rFonts w:eastAsia="Calibri" w:cs="Times New Roman"/>
          <w:b/>
          <w:szCs w:val="24"/>
          <w:u w:val="single"/>
        </w:rPr>
        <w:t>interests of society.</w:t>
      </w:r>
      <w:r w:rsidRPr="00B2706F">
        <w:rPr>
          <w:rFonts w:eastAsia="Calibri" w:cs="Times New Roman"/>
          <w:szCs w:val="24"/>
        </w:rPr>
        <w:t xml:space="preserve"> </w:t>
      </w:r>
      <w:r w:rsidRPr="00B2706F">
        <w:rPr>
          <w:rFonts w:eastAsia="Calibri" w:cs="Times New Roman"/>
          <w:color w:val="A6A6A6"/>
          <w:sz w:val="12"/>
          <w:szCs w:val="24"/>
        </w:rPr>
        <w:t>One can say, then, that the judge and the legislator stand in different positions and look in different directions: one to the past, one to the future. The justification of</w:t>
      </w:r>
      <w:r w:rsidRPr="00B2706F">
        <w:rPr>
          <w:rFonts w:eastAsia="Calibri" w:cs="Times New Roman"/>
          <w:szCs w:val="24"/>
        </w:rPr>
        <w:t xml:space="preserve"> </w:t>
      </w:r>
      <w:r w:rsidRPr="00B2706F">
        <w:rPr>
          <w:rFonts w:eastAsia="Calibri" w:cs="Times New Roman"/>
          <w:b/>
          <w:szCs w:val="24"/>
          <w:u w:val="single"/>
        </w:rPr>
        <w:t>what the judge does</w:t>
      </w:r>
      <w:r w:rsidRPr="00B2706F">
        <w:rPr>
          <w:rFonts w:eastAsia="Calibri" w:cs="Times New Roman"/>
          <w:color w:val="A6A6A6"/>
          <w:sz w:val="12"/>
          <w:szCs w:val="24"/>
        </w:rPr>
        <w:t>,</w:t>
      </w:r>
      <w:r w:rsidRPr="00B2706F">
        <w:rPr>
          <w:rFonts w:eastAsia="Calibri" w:cs="Times New Roman"/>
          <w:szCs w:val="24"/>
        </w:rPr>
        <w:t xml:space="preserve"> </w:t>
      </w:r>
      <w:r w:rsidRPr="00B2706F">
        <w:rPr>
          <w:rFonts w:eastAsia="Calibri" w:cs="Times New Roman"/>
          <w:i/>
          <w:color w:val="A6A6A6"/>
          <w:sz w:val="12"/>
          <w:szCs w:val="24"/>
        </w:rPr>
        <w:t>qua</w:t>
      </w:r>
      <w:r w:rsidRPr="00B2706F">
        <w:rPr>
          <w:rFonts w:eastAsia="Calibri" w:cs="Times New Roman"/>
          <w:color w:val="A6A6A6"/>
          <w:sz w:val="12"/>
          <w:szCs w:val="24"/>
        </w:rPr>
        <w:t xml:space="preserve"> judge,</w:t>
      </w:r>
      <w:r w:rsidRPr="00B2706F">
        <w:rPr>
          <w:rFonts w:eastAsia="Calibri" w:cs="Times New Roman"/>
          <w:szCs w:val="24"/>
        </w:rPr>
        <w:t xml:space="preserve"> </w:t>
      </w:r>
      <w:r w:rsidRPr="00B2706F">
        <w:rPr>
          <w:rFonts w:eastAsia="Calibri" w:cs="Times New Roman"/>
          <w:b/>
          <w:szCs w:val="24"/>
          <w:u w:val="single"/>
        </w:rPr>
        <w:t>sounds</w:t>
      </w:r>
      <w:r w:rsidRPr="00B2706F">
        <w:rPr>
          <w:rFonts w:eastAsia="Calibri" w:cs="Times New Roman"/>
          <w:szCs w:val="24"/>
        </w:rPr>
        <w:t xml:space="preserve"> </w:t>
      </w:r>
      <w:r w:rsidRPr="00B2706F">
        <w:rPr>
          <w:rFonts w:eastAsia="Calibri" w:cs="Times New Roman"/>
          <w:color w:val="A6A6A6"/>
          <w:sz w:val="12"/>
          <w:szCs w:val="24"/>
        </w:rPr>
        <w:t>like the</w:t>
      </w:r>
      <w:r w:rsidRPr="00B2706F">
        <w:rPr>
          <w:rFonts w:eastAsia="Calibri" w:cs="Times New Roman"/>
          <w:szCs w:val="24"/>
        </w:rPr>
        <w:t xml:space="preserve"> </w:t>
      </w:r>
      <w:r w:rsidRPr="00B2706F">
        <w:rPr>
          <w:rFonts w:eastAsia="Calibri" w:cs="Times New Roman"/>
          <w:b/>
          <w:szCs w:val="24"/>
          <w:u w:val="single"/>
        </w:rPr>
        <w:t>retributive</w:t>
      </w:r>
      <w:r w:rsidRPr="00B2706F">
        <w:rPr>
          <w:rFonts w:eastAsia="Calibri" w:cs="Times New Roman"/>
          <w:szCs w:val="24"/>
        </w:rPr>
        <w:t xml:space="preserve"> </w:t>
      </w:r>
      <w:r w:rsidRPr="00B2706F">
        <w:rPr>
          <w:rFonts w:eastAsia="Calibri" w:cs="Times New Roman"/>
          <w:color w:val="A6A6A6"/>
          <w:sz w:val="12"/>
          <w:szCs w:val="24"/>
        </w:rPr>
        <w:t>view</w:t>
      </w:r>
      <w:r w:rsidRPr="00B2706F">
        <w:rPr>
          <w:rFonts w:eastAsia="Calibri" w:cs="Times New Roman"/>
          <w:b/>
          <w:szCs w:val="24"/>
          <w:u w:val="single"/>
        </w:rPr>
        <w:t>;</w:t>
      </w:r>
      <w:r w:rsidRPr="00B2706F">
        <w:rPr>
          <w:rFonts w:eastAsia="Calibri" w:cs="Times New Roman"/>
          <w:szCs w:val="24"/>
        </w:rPr>
        <w:t xml:space="preserve"> </w:t>
      </w:r>
      <w:r w:rsidRPr="00B2706F">
        <w:rPr>
          <w:rFonts w:eastAsia="Calibri" w:cs="Times New Roman"/>
          <w:color w:val="A6A6A6"/>
          <w:sz w:val="12"/>
          <w:szCs w:val="24"/>
        </w:rPr>
        <w:t>the justification of</w:t>
      </w:r>
      <w:r w:rsidRPr="00B2706F">
        <w:rPr>
          <w:rFonts w:eastAsia="Calibri" w:cs="Times New Roman"/>
          <w:szCs w:val="24"/>
        </w:rPr>
        <w:t xml:space="preserve"> </w:t>
      </w:r>
      <w:r w:rsidRPr="00B2706F">
        <w:rPr>
          <w:rFonts w:eastAsia="Calibri" w:cs="Times New Roman"/>
          <w:b/>
          <w:szCs w:val="24"/>
          <w:u w:val="single"/>
        </w:rPr>
        <w:t>what the legislator does</w:t>
      </w:r>
      <w:r w:rsidRPr="00B2706F">
        <w:rPr>
          <w:rFonts w:eastAsia="Calibri" w:cs="Times New Roman"/>
          <w:color w:val="A6A6A6"/>
          <w:sz w:val="12"/>
          <w:szCs w:val="24"/>
        </w:rPr>
        <w:t xml:space="preserve">, </w:t>
      </w:r>
      <w:r w:rsidRPr="00B2706F">
        <w:rPr>
          <w:rFonts w:eastAsia="Calibri" w:cs="Times New Roman"/>
          <w:i/>
          <w:color w:val="A6A6A6"/>
          <w:sz w:val="12"/>
          <w:szCs w:val="24"/>
        </w:rPr>
        <w:t>qua legislator</w:t>
      </w:r>
      <w:r w:rsidRPr="00B2706F">
        <w:rPr>
          <w:rFonts w:eastAsia="Calibri" w:cs="Times New Roman"/>
          <w:color w:val="A6A6A6"/>
          <w:sz w:val="12"/>
          <w:szCs w:val="24"/>
        </w:rPr>
        <w:t>,</w:t>
      </w:r>
      <w:r w:rsidRPr="00B2706F">
        <w:rPr>
          <w:rFonts w:eastAsia="Calibri" w:cs="Times New Roman"/>
          <w:szCs w:val="24"/>
        </w:rPr>
        <w:t xml:space="preserve"> </w:t>
      </w:r>
      <w:r w:rsidRPr="00B2706F">
        <w:rPr>
          <w:rFonts w:eastAsia="Calibri" w:cs="Times New Roman"/>
          <w:b/>
          <w:szCs w:val="24"/>
          <w:u w:val="single"/>
        </w:rPr>
        <w:t>sounds</w:t>
      </w:r>
      <w:r w:rsidRPr="00B2706F">
        <w:rPr>
          <w:rFonts w:eastAsia="Calibri" w:cs="Times New Roman"/>
          <w:szCs w:val="24"/>
        </w:rPr>
        <w:t xml:space="preserve"> </w:t>
      </w:r>
      <w:r w:rsidRPr="00B2706F">
        <w:rPr>
          <w:rFonts w:eastAsia="Calibri" w:cs="Times New Roman"/>
          <w:color w:val="A6A6A6"/>
          <w:sz w:val="12"/>
          <w:szCs w:val="24"/>
        </w:rPr>
        <w:t>like the</w:t>
      </w:r>
      <w:r w:rsidRPr="00B2706F">
        <w:rPr>
          <w:rFonts w:eastAsia="Calibri" w:cs="Times New Roman"/>
          <w:szCs w:val="24"/>
        </w:rPr>
        <w:t xml:space="preserve"> </w:t>
      </w:r>
      <w:r w:rsidRPr="00B2706F">
        <w:rPr>
          <w:rFonts w:eastAsia="Calibri" w:cs="Times New Roman"/>
          <w:b/>
          <w:szCs w:val="24"/>
          <w:u w:val="single"/>
        </w:rPr>
        <w:t>utilitarian</w:t>
      </w:r>
      <w:r w:rsidRPr="00B2706F">
        <w:rPr>
          <w:rFonts w:eastAsia="Calibri" w:cs="Times New Roman"/>
          <w:szCs w:val="24"/>
        </w:rPr>
        <w:t xml:space="preserve"> </w:t>
      </w:r>
      <w:r w:rsidRPr="00B2706F">
        <w:rPr>
          <w:rFonts w:eastAsia="Calibri" w:cs="Times New Roman"/>
          <w:color w:val="A6A6A6"/>
          <w:sz w:val="12"/>
          <w:szCs w:val="24"/>
        </w:rPr>
        <w:t>view. Thus both views have a point (this is as it should be since intelligent and sensitive persons have been on both sides of the argument); and one’s initial confusion disappears once one sees that these views apply to persons holding different offices with different duties, and situated differently with respect to the system of rules that make up the criminal law. One might say, however, that</w:t>
      </w:r>
      <w:r w:rsidRPr="00B2706F">
        <w:rPr>
          <w:rFonts w:eastAsia="Calibri" w:cs="Times New Roman"/>
          <w:szCs w:val="24"/>
        </w:rPr>
        <w:t xml:space="preserve"> </w:t>
      </w:r>
      <w:r w:rsidRPr="00B2706F">
        <w:rPr>
          <w:rFonts w:eastAsia="Calibri" w:cs="Times New Roman"/>
          <w:b/>
          <w:szCs w:val="24"/>
          <w:u w:val="single"/>
        </w:rPr>
        <w:t>the utilitarian view is more fundamental since</w:t>
      </w:r>
      <w:r w:rsidRPr="00B2706F">
        <w:rPr>
          <w:rFonts w:eastAsia="Calibri" w:cs="Times New Roman"/>
          <w:szCs w:val="24"/>
        </w:rPr>
        <w:t xml:space="preserve"> </w:t>
      </w:r>
      <w:r w:rsidRPr="00B2706F">
        <w:rPr>
          <w:rFonts w:eastAsia="Calibri" w:cs="Times New Roman"/>
          <w:color w:val="A6A6A6"/>
          <w:sz w:val="12"/>
          <w:szCs w:val="24"/>
        </w:rPr>
        <w:t>it applies to a more fundamental office, for</w:t>
      </w:r>
      <w:r w:rsidRPr="00B2706F">
        <w:rPr>
          <w:rFonts w:eastAsia="Calibri" w:cs="Times New Roman"/>
          <w:szCs w:val="24"/>
        </w:rPr>
        <w:t xml:space="preserve"> </w:t>
      </w:r>
      <w:r w:rsidRPr="00B2706F">
        <w:rPr>
          <w:rFonts w:eastAsia="Calibri" w:cs="Times New Roman"/>
          <w:b/>
          <w:szCs w:val="24"/>
          <w:u w:val="single"/>
        </w:rPr>
        <w:t>the judge carries out the legislator’s will</w:t>
      </w:r>
      <w:r w:rsidRPr="00B2706F">
        <w:rPr>
          <w:rFonts w:eastAsia="Calibri" w:cs="Times New Roman"/>
          <w:szCs w:val="24"/>
        </w:rPr>
        <w:t xml:space="preserve"> </w:t>
      </w:r>
      <w:r w:rsidRPr="00B2706F">
        <w:rPr>
          <w:rFonts w:eastAsia="Calibri" w:cs="Times New Roman"/>
          <w:color w:val="A6A6A6"/>
          <w:sz w:val="12"/>
          <w:szCs w:val="24"/>
        </w:rPr>
        <w:t xml:space="preserve">so far as he can determine it. Once the legislator decides to have laws and to assign penalties for their violation (as things are there must be both the law and the penalty) an institution is set up which involves a retributive conception of particular cases. It is part of the concept of the criminal law as a system of rules that the application and enforcement of these rules in particular cases should be justifiable by arguments of a retributive character. The decision whether or not to use law rather than some other mechanism of social control, as the decision as to what laws to have and what penalties to assign, may be settled by utilitarian arguments; but if one decides to have laws then one has decided on something whose working in particular cases is retributive in form. </w:t>
      </w:r>
    </w:p>
    <w:p w:rsidR="00267B0A" w:rsidRDefault="00267B0A" w:rsidP="00607A47"/>
    <w:p w:rsidR="00607A47" w:rsidRDefault="00607A47" w:rsidP="00607A47">
      <w:pPr>
        <w:rPr>
          <w:rFonts w:eastAsiaTheme="majorEastAsia" w:cstheme="majorBidi"/>
          <w:b/>
          <w:bCs/>
          <w:szCs w:val="26"/>
          <w:u w:val="single"/>
        </w:rPr>
      </w:pPr>
      <w:r>
        <w:rPr>
          <w:u w:val="single"/>
        </w:rPr>
        <w:br w:type="page"/>
      </w:r>
    </w:p>
    <w:p w:rsidR="00607A47" w:rsidRDefault="00607A47" w:rsidP="00607A47">
      <w:pPr>
        <w:pStyle w:val="Heading2"/>
        <w:spacing w:before="0"/>
        <w:jc w:val="center"/>
        <w:rPr>
          <w:rFonts w:ascii="Georgia" w:hAnsi="Georgia"/>
          <w:color w:val="auto"/>
          <w:sz w:val="24"/>
          <w:u w:val="single"/>
        </w:rPr>
      </w:pPr>
      <w:r>
        <w:rPr>
          <w:rFonts w:ascii="Georgia" w:hAnsi="Georgia"/>
          <w:color w:val="auto"/>
          <w:sz w:val="24"/>
          <w:u w:val="single"/>
        </w:rPr>
        <w:lastRenderedPageBreak/>
        <w:t>RVI Answers</w:t>
      </w:r>
    </w:p>
    <w:p w:rsidR="00607A47" w:rsidRPr="00861F7F" w:rsidRDefault="00607A47" w:rsidP="00607A47">
      <w:pPr>
        <w:rPr>
          <w:b/>
          <w:u w:val="single"/>
        </w:rPr>
      </w:pPr>
    </w:p>
    <w:p w:rsidR="00607A47" w:rsidRPr="00083DC6" w:rsidRDefault="00607A47" w:rsidP="00607A47">
      <w:pPr>
        <w:pStyle w:val="Heading3"/>
        <w:spacing w:before="0"/>
        <w:jc w:val="center"/>
        <w:rPr>
          <w:rFonts w:ascii="Georgia" w:hAnsi="Georgia"/>
          <w:color w:val="auto"/>
          <w:u w:val="single"/>
        </w:rPr>
      </w:pPr>
      <w:r>
        <w:rPr>
          <w:rFonts w:ascii="Georgia" w:hAnsi="Georgia"/>
          <w:color w:val="auto"/>
          <w:u w:val="single"/>
        </w:rPr>
        <w:t>RVIs under certain conditions</w:t>
      </w:r>
    </w:p>
    <w:p w:rsidR="00607A47" w:rsidRDefault="00607A47" w:rsidP="00607A47">
      <w:pPr>
        <w:tabs>
          <w:tab w:val="left" w:pos="1755"/>
        </w:tabs>
        <w:contextualSpacing/>
      </w:pPr>
      <w:r>
        <w:t>Aff only gets RVIs if they concede the violation, the voter, and that theory is evaluated through competing interps. 4 reasons.</w:t>
      </w:r>
    </w:p>
    <w:p w:rsidR="00607A47" w:rsidRDefault="00607A47" w:rsidP="00607A47">
      <w:pPr>
        <w:tabs>
          <w:tab w:val="left" w:pos="1755"/>
        </w:tabs>
        <w:contextualSpacing/>
      </w:pPr>
    </w:p>
    <w:p w:rsidR="00607A47" w:rsidRDefault="00607A47" w:rsidP="00607A47">
      <w:pPr>
        <w:tabs>
          <w:tab w:val="left" w:pos="1755"/>
        </w:tabs>
        <w:contextualSpacing/>
      </w:pPr>
      <w:r>
        <w:t>1. It’s key to reciprocity because I meets, reject the arg, and reasonability make RVIs a nib for the aff which gives the aff a 4 to 1 advantage on theory.</w:t>
      </w:r>
    </w:p>
    <w:p w:rsidR="00607A47" w:rsidRDefault="00607A47" w:rsidP="00607A47">
      <w:pPr>
        <w:tabs>
          <w:tab w:val="left" w:pos="1755"/>
        </w:tabs>
        <w:contextualSpacing/>
      </w:pPr>
    </w:p>
    <w:p w:rsidR="00607A47" w:rsidRDefault="00607A47" w:rsidP="00607A47">
      <w:pPr>
        <w:tabs>
          <w:tab w:val="left" w:pos="1755"/>
        </w:tabs>
        <w:contextualSpacing/>
      </w:pPr>
      <w:r>
        <w:t xml:space="preserve">2. Only offense to a counter-interp can trigger an RVI. If the aff doesn’t win that my interp is worse for debate, then </w:t>
      </w:r>
      <w:r w:rsidR="003F6ECA">
        <w:t>it makes no sense to</w:t>
      </w:r>
      <w:r>
        <w:t xml:space="preserve"> vote aff to deter it.</w:t>
      </w:r>
    </w:p>
    <w:p w:rsidR="00607A47" w:rsidRDefault="00607A47" w:rsidP="00607A47">
      <w:pPr>
        <w:tabs>
          <w:tab w:val="left" w:pos="1755"/>
        </w:tabs>
        <w:contextualSpacing/>
      </w:pPr>
    </w:p>
    <w:p w:rsidR="00607A47" w:rsidRDefault="00607A47" w:rsidP="00607A47">
      <w:r>
        <w:t>3. If the aff is going all in on theory with an RVI, they already have a reciprocal source of offense, so I meets and reasonability aren’t key.</w:t>
      </w:r>
    </w:p>
    <w:p w:rsidR="00607A47" w:rsidRDefault="00607A47" w:rsidP="00607A47"/>
    <w:p w:rsidR="00607A47" w:rsidRPr="00196578" w:rsidRDefault="00607A47" w:rsidP="00607A47">
      <w:r>
        <w:t>4. Double-bind. If the I meet or reject the arg is false, the aff doesn’t need them. If the I meet or reject the arg is true, aff doesn’t need the RVI.</w:t>
      </w:r>
    </w:p>
    <w:p w:rsidR="00607A47" w:rsidRDefault="00607A47" w:rsidP="00607A47"/>
    <w:p w:rsidR="00607A47" w:rsidRPr="00861F7F" w:rsidRDefault="00607A47" w:rsidP="00607A47">
      <w:pPr>
        <w:pStyle w:val="Heading3"/>
        <w:spacing w:before="0"/>
        <w:jc w:val="center"/>
        <w:rPr>
          <w:rFonts w:ascii="Georgia" w:hAnsi="Georgia"/>
          <w:color w:val="auto"/>
          <w:u w:val="single"/>
        </w:rPr>
      </w:pPr>
      <w:r w:rsidRPr="00861F7F">
        <w:rPr>
          <w:rFonts w:ascii="Georgia" w:hAnsi="Georgia"/>
          <w:color w:val="auto"/>
          <w:u w:val="single"/>
        </w:rPr>
        <w:t>No RVIs</w:t>
      </w:r>
    </w:p>
    <w:p w:rsidR="00607A47" w:rsidRDefault="00607A47" w:rsidP="00607A47"/>
    <w:p w:rsidR="00607A47" w:rsidRPr="00A747E8" w:rsidRDefault="003F6ECA" w:rsidP="00607A47">
      <w:r>
        <w:t>Omitted.</w:t>
      </w:r>
    </w:p>
    <w:p w:rsidR="00607A47" w:rsidRPr="00776C78" w:rsidRDefault="00607A47" w:rsidP="003E66AF">
      <w:pPr>
        <w:ind w:right="-1"/>
      </w:pPr>
    </w:p>
    <w:sectPr w:rsidR="00607A47" w:rsidRPr="00776C78" w:rsidSect="007C5A63">
      <w:headerReference w:type="even" r:id="rId10"/>
      <w:headerReference w:type="default" r:id="rId11"/>
      <w:footerReference w:type="even" r:id="rId12"/>
      <w:footerReference w:type="default" r:id="rId13"/>
      <w:headerReference w:type="first" r:id="rId14"/>
      <w:footerReference w:type="first" r:id="rId15"/>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2CD" w:rsidRDefault="002322CD" w:rsidP="00196578">
      <w:r>
        <w:separator/>
      </w:r>
    </w:p>
  </w:endnote>
  <w:endnote w:type="continuationSeparator" w:id="0">
    <w:p w:rsidR="002322CD" w:rsidRDefault="002322CD"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0E" w:rsidRDefault="00C30C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0E" w:rsidRDefault="00C30C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0E" w:rsidRDefault="00C30C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2CD" w:rsidRDefault="002322CD" w:rsidP="00196578">
      <w:r>
        <w:separator/>
      </w:r>
    </w:p>
  </w:footnote>
  <w:footnote w:type="continuationSeparator" w:id="0">
    <w:p w:rsidR="002322CD" w:rsidRDefault="002322CD" w:rsidP="00196578">
      <w:r>
        <w:continuationSeparator/>
      </w:r>
    </w:p>
  </w:footnote>
  <w:footnote w:id="1">
    <w:p w:rsidR="003E66AF" w:rsidRPr="008B2A64" w:rsidRDefault="003E66AF" w:rsidP="003E66AF">
      <w:pPr>
        <w:pStyle w:val="FootnoteText"/>
        <w:rPr>
          <w:sz w:val="16"/>
          <w:szCs w:val="16"/>
        </w:rPr>
      </w:pPr>
      <w:r w:rsidRPr="008B2A64">
        <w:rPr>
          <w:rStyle w:val="FootnoteReference"/>
          <w:sz w:val="16"/>
          <w:szCs w:val="16"/>
        </w:rPr>
        <w:footnoteRef/>
      </w:r>
      <w:r w:rsidRPr="008B2A64">
        <w:rPr>
          <w:sz w:val="16"/>
          <w:szCs w:val="16"/>
        </w:rPr>
        <w:t xml:space="preserve"> Words and Phrases Permanent Edition</w:t>
      </w:r>
      <w:r w:rsidR="004845A9">
        <w:rPr>
          <w:sz w:val="16"/>
          <w:szCs w:val="16"/>
        </w:rPr>
        <w:t xml:space="preserve"> (Multi-volume set of judicial definitions)</w:t>
      </w:r>
      <w:r w:rsidRPr="008B2A64">
        <w:rPr>
          <w:sz w:val="16"/>
          <w:szCs w:val="16"/>
        </w:rPr>
        <w:t>. “Resolved”. 1964.</w:t>
      </w:r>
    </w:p>
  </w:footnote>
  <w:footnote w:id="2">
    <w:p w:rsidR="00776C78" w:rsidRPr="008B2A64" w:rsidRDefault="00776C78" w:rsidP="00776C78">
      <w:pPr>
        <w:ind w:right="-1"/>
        <w:rPr>
          <w:sz w:val="16"/>
          <w:szCs w:val="16"/>
        </w:rPr>
      </w:pPr>
      <w:r w:rsidRPr="008B2A64">
        <w:rPr>
          <w:rStyle w:val="FootnoteReference"/>
          <w:sz w:val="16"/>
          <w:szCs w:val="16"/>
        </w:rPr>
        <w:footnoteRef/>
      </w:r>
      <w:r w:rsidRPr="008B2A64">
        <w:rPr>
          <w:sz w:val="16"/>
          <w:szCs w:val="16"/>
        </w:rPr>
        <w:t xml:space="preserve"> Toni Nielson (Assistant Director of Debate at CSU Fullerton, 4.3 Overall Rating on Ratemyprofessors.com as of 4/7/13). “Prison Reform Topic Paper.” 25 April 2011. </w:t>
      </w:r>
      <w:hyperlink r:id="rId1" w:history="1">
        <w:r w:rsidRPr="008B2A64">
          <w:rPr>
            <w:rStyle w:val="Hyperlink"/>
            <w:sz w:val="16"/>
            <w:szCs w:val="16"/>
          </w:rPr>
          <w:t>http://www.cedadebate.org/forum/index.php?action=dlattach;topic=2381.0;attach=664</w:t>
        </w:r>
      </w:hyperlink>
      <w:r w:rsidRPr="008B2A64">
        <w:rPr>
          <w:sz w:val="16"/>
          <w:szCs w:val="16"/>
        </w:rPr>
        <w:t xml:space="preserve"> </w:t>
      </w:r>
    </w:p>
  </w:footnote>
  <w:footnote w:id="3">
    <w:p w:rsidR="003E66AF" w:rsidRPr="008B2A64" w:rsidRDefault="003E66AF" w:rsidP="003E66AF">
      <w:pPr>
        <w:rPr>
          <w:sz w:val="16"/>
          <w:szCs w:val="16"/>
        </w:rPr>
      </w:pPr>
      <w:r w:rsidRPr="008B2A64">
        <w:rPr>
          <w:rStyle w:val="FootnoteReference"/>
          <w:sz w:val="16"/>
          <w:szCs w:val="16"/>
        </w:rPr>
        <w:footnoteRef/>
      </w:r>
      <w:r w:rsidRPr="008B2A64">
        <w:rPr>
          <w:sz w:val="16"/>
          <w:szCs w:val="16"/>
        </w:rPr>
        <w:t xml:space="preserve"> Prichard, Harold. 1912. “Does Moral Philosophy Rest on a Mistake?” Mind 21:21-37. Gendered language modified. </w:t>
      </w:r>
      <w:hyperlink r:id="rId2" w:history="1">
        <w:r w:rsidRPr="008B2A64">
          <w:rPr>
            <w:rStyle w:val="Hyperlink"/>
            <w:sz w:val="16"/>
            <w:szCs w:val="16"/>
          </w:rPr>
          <w:t>http://www.ditext.com/prichard/mistake.html</w:t>
        </w:r>
      </w:hyperlink>
      <w:r w:rsidRPr="008B2A64">
        <w:rPr>
          <w:sz w:val="16"/>
          <w:szCs w:val="16"/>
        </w:rPr>
        <w:t xml:space="preserve"> </w:t>
      </w:r>
    </w:p>
  </w:footnote>
  <w:footnote w:id="4">
    <w:p w:rsidR="003E66AF" w:rsidRPr="008B2A64" w:rsidRDefault="003E66AF" w:rsidP="003E66AF">
      <w:pPr>
        <w:pStyle w:val="FootnoteText"/>
        <w:rPr>
          <w:sz w:val="16"/>
          <w:szCs w:val="16"/>
        </w:rPr>
      </w:pPr>
      <w:r w:rsidRPr="008B2A64">
        <w:rPr>
          <w:rStyle w:val="FootnoteReference"/>
          <w:sz w:val="16"/>
          <w:szCs w:val="16"/>
        </w:rPr>
        <w:footnoteRef/>
      </w:r>
      <w:r w:rsidRPr="008B2A64">
        <w:rPr>
          <w:sz w:val="16"/>
          <w:szCs w:val="16"/>
        </w:rPr>
        <w:t xml:space="preserve"> David Emmons (Professor of Criminal Justice, Richard Stockton College, New Jersey), and Larry Nutt (Professor of Criminal Justice, Richard Stockton College), "Values education and the criminal justice curriculum", Journal of Criminal Justice Education, Volume 6, Issue 1, 1995.</w:t>
      </w:r>
    </w:p>
  </w:footnote>
  <w:footnote w:id="5">
    <w:p w:rsidR="008B2A64" w:rsidRPr="008B2A64" w:rsidRDefault="008B2A64" w:rsidP="008B2A64">
      <w:pPr>
        <w:ind w:right="-1"/>
        <w:rPr>
          <w:sz w:val="16"/>
          <w:szCs w:val="16"/>
        </w:rPr>
      </w:pPr>
      <w:r w:rsidRPr="008B2A64">
        <w:rPr>
          <w:rStyle w:val="FootnoteReference"/>
          <w:sz w:val="16"/>
          <w:szCs w:val="16"/>
        </w:rPr>
        <w:footnoteRef/>
      </w:r>
      <w:r w:rsidRPr="008B2A64">
        <w:rPr>
          <w:sz w:val="16"/>
          <w:szCs w:val="16"/>
        </w:rPr>
        <w:t xml:space="preserve"> Bureau of Justice Statistics. “The Justice System.” No Date. </w:t>
      </w:r>
      <w:hyperlink r:id="rId3" w:history="1">
        <w:r w:rsidRPr="008B2A64">
          <w:rPr>
            <w:rStyle w:val="Hyperlink"/>
            <w:sz w:val="16"/>
            <w:szCs w:val="16"/>
          </w:rPr>
          <w:t>http://bjs.gov/content/justsys.cfm</w:t>
        </w:r>
      </w:hyperlink>
    </w:p>
  </w:footnote>
  <w:footnote w:id="6">
    <w:p w:rsidR="00AE727E" w:rsidRPr="00FD3F65" w:rsidRDefault="00AE727E" w:rsidP="00AE727E">
      <w:pPr>
        <w:pStyle w:val="FootnoteText"/>
        <w:rPr>
          <w:sz w:val="16"/>
          <w:szCs w:val="16"/>
        </w:rPr>
      </w:pPr>
      <w:r w:rsidRPr="00FD3F65">
        <w:rPr>
          <w:rStyle w:val="FootnoteReference"/>
          <w:sz w:val="16"/>
          <w:szCs w:val="16"/>
        </w:rPr>
        <w:footnoteRef/>
      </w:r>
      <w:r w:rsidRPr="00FD3F65">
        <w:rPr>
          <w:sz w:val="16"/>
          <w:szCs w:val="16"/>
        </w:rPr>
        <w:t xml:space="preserve"> Prof. Public Affairs at University of Washington, 1980  PolySci Quarterly 79-80, p. 605,</w:t>
      </w:r>
    </w:p>
  </w:footnote>
  <w:footnote w:id="7">
    <w:p w:rsidR="00AE727E" w:rsidRPr="0090035C" w:rsidRDefault="00AE727E" w:rsidP="00AE727E">
      <w:pPr>
        <w:pStyle w:val="FootnoteText"/>
      </w:pPr>
      <w:r>
        <w:rPr>
          <w:rStyle w:val="FootnoteReference"/>
        </w:rPr>
        <w:footnoteRef/>
      </w:r>
      <w:r>
        <w:t xml:space="preserve"> David Emmons (</w:t>
      </w:r>
      <w:r w:rsidRPr="0090035C">
        <w:t>Professor of Criminal Justice, Richard Stockton College, New Jersey</w:t>
      </w:r>
      <w:r>
        <w:t>), and Larry Nutt (</w:t>
      </w:r>
      <w:r w:rsidRPr="0090035C">
        <w:t>Professor of Criminal Justice, Richar</w:t>
      </w:r>
      <w:r>
        <w:t>d Stockton College)</w:t>
      </w:r>
      <w:r w:rsidRPr="0090035C">
        <w:t>, "Values education and the criminal justice curriculum", Journal of Criminal Justice Educati</w:t>
      </w:r>
      <w:r>
        <w:t>on, Volume 6, Issue 1, 1995.</w:t>
      </w:r>
    </w:p>
  </w:footnote>
  <w:footnote w:id="8">
    <w:p w:rsidR="00AE727E" w:rsidRPr="00D45A46" w:rsidRDefault="00AE727E" w:rsidP="00AE727E">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9">
    <w:p w:rsidR="00AE727E" w:rsidRPr="00D45A46" w:rsidRDefault="00AE727E" w:rsidP="00AE727E">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10">
    <w:p w:rsidR="00AE727E" w:rsidRPr="00AD01A9" w:rsidRDefault="00AE727E" w:rsidP="00AE727E">
      <w:pPr>
        <w:ind w:right="-1"/>
        <w:rPr>
          <w:sz w:val="16"/>
          <w:szCs w:val="16"/>
        </w:rPr>
      </w:pPr>
      <w:r w:rsidRPr="00AD01A9">
        <w:rPr>
          <w:rStyle w:val="FootnoteReference"/>
          <w:sz w:val="16"/>
          <w:szCs w:val="16"/>
        </w:rPr>
        <w:footnoteRef/>
      </w:r>
      <w:r w:rsidRPr="00AD01A9">
        <w:rPr>
          <w:sz w:val="16"/>
          <w:szCs w:val="16"/>
        </w:rPr>
        <w:t xml:space="preserve"> Toni Nielson (Assistant Director of Debate at CSU Fullerton, 4.3 Overall Rating on Ratemyprofessors.com as of 4/7/13). “Prison Reform Topic Paper.” 25 April 2011. </w:t>
      </w:r>
      <w:hyperlink r:id="rId4" w:history="1">
        <w:r w:rsidRPr="00AD01A9">
          <w:rPr>
            <w:rStyle w:val="Hyperlink"/>
            <w:sz w:val="16"/>
            <w:szCs w:val="16"/>
          </w:rPr>
          <w:t>http://www.cedadebate.org/forum/index.php?action=dlattach;topic=2381.0;attach=664</w:t>
        </w:r>
      </w:hyperlink>
      <w:r w:rsidRPr="00AD01A9">
        <w:rPr>
          <w:sz w:val="16"/>
          <w:szCs w:val="16"/>
        </w:rPr>
        <w:t xml:space="preserve"> </w:t>
      </w:r>
    </w:p>
  </w:footnote>
  <w:footnote w:id="11">
    <w:p w:rsidR="00607A47" w:rsidRPr="00FD3F65" w:rsidRDefault="00607A47" w:rsidP="00607A47">
      <w:pPr>
        <w:pStyle w:val="FootnoteText"/>
        <w:rPr>
          <w:sz w:val="16"/>
          <w:szCs w:val="16"/>
        </w:rPr>
      </w:pPr>
      <w:r w:rsidRPr="00FD3F65">
        <w:rPr>
          <w:rStyle w:val="FootnoteReference"/>
          <w:sz w:val="16"/>
          <w:szCs w:val="16"/>
        </w:rPr>
        <w:footnoteRef/>
      </w:r>
      <w:r w:rsidRPr="00FD3F65">
        <w:rPr>
          <w:sz w:val="16"/>
          <w:szCs w:val="16"/>
        </w:rPr>
        <w:t xml:space="preserve"> “Affirmative Ethics Choice,” Ryan Lawrence. Victory Briefs. March 12</w:t>
      </w:r>
      <w:r w:rsidRPr="00FD3F65">
        <w:rPr>
          <w:sz w:val="16"/>
          <w:szCs w:val="16"/>
          <w:vertAlign w:val="superscript"/>
        </w:rPr>
        <w:t>th</w:t>
      </w:r>
      <w:r w:rsidRPr="00FD3F65">
        <w:rPr>
          <w:sz w:val="16"/>
          <w:szCs w:val="16"/>
        </w:rPr>
        <w:t xml:space="preserve">, 2012. </w:t>
      </w:r>
    </w:p>
  </w:footnote>
  <w:footnote w:id="12">
    <w:p w:rsidR="004845A9" w:rsidRPr="004357ED" w:rsidRDefault="004845A9" w:rsidP="004845A9">
      <w:pPr>
        <w:pStyle w:val="FootnoteText"/>
      </w:pPr>
      <w:r>
        <w:rPr>
          <w:rStyle w:val="FootnoteReference"/>
        </w:rPr>
        <w:footnoteRef/>
      </w:r>
      <w:r>
        <w:t xml:space="preserve"> </w:t>
      </w:r>
      <w:r w:rsidRPr="00153539">
        <w:t>Jeff</w:t>
      </w:r>
      <w:r>
        <w:t xml:space="preserve"> Parcher</w:t>
      </w:r>
      <w:r w:rsidRPr="00153539">
        <w:t>, Former Debate Coach – Georgetown</w:t>
      </w:r>
      <w:r>
        <w:t xml:space="preserve">, February 2001, </w:t>
      </w:r>
      <w:r w:rsidRPr="00153539">
        <w:t>http://www.ndtceda.corn/archives/2001 02/0790.html</w:t>
      </w:r>
    </w:p>
  </w:footnote>
  <w:footnote w:id="13">
    <w:p w:rsidR="00267B0A" w:rsidRPr="004357ED" w:rsidRDefault="00267B0A" w:rsidP="00267B0A">
      <w:pPr>
        <w:pStyle w:val="FootnoteText"/>
      </w:pPr>
      <w:r>
        <w:rPr>
          <w:rStyle w:val="FootnoteReference"/>
        </w:rPr>
        <w:footnoteRef/>
      </w:r>
      <w:r>
        <w:t xml:space="preserve"> </w:t>
      </w:r>
      <w:r w:rsidRPr="00153539">
        <w:t>Thomas</w:t>
      </w:r>
      <w:r>
        <w:t xml:space="preserve"> Keller</w:t>
      </w:r>
      <w:r w:rsidRPr="00153539">
        <w:t>, Professor of Social Work Education, Journal of Social Work Education, Spring/Summer</w:t>
      </w:r>
      <w:r>
        <w:t xml:space="preserve"> 2001</w:t>
      </w:r>
    </w:p>
  </w:footnote>
  <w:footnote w:id="14">
    <w:p w:rsidR="00B2706F" w:rsidRPr="00FD3F65" w:rsidRDefault="00B2706F" w:rsidP="00B2706F">
      <w:pPr>
        <w:pStyle w:val="FootnoteText"/>
        <w:rPr>
          <w:sz w:val="16"/>
          <w:szCs w:val="16"/>
        </w:rPr>
      </w:pPr>
      <w:r w:rsidRPr="00FD3F65">
        <w:rPr>
          <w:rStyle w:val="FootnoteReference"/>
          <w:sz w:val="16"/>
          <w:szCs w:val="16"/>
        </w:rPr>
        <w:footnoteRef/>
      </w:r>
      <w:r w:rsidRPr="00FD3F65">
        <w:rPr>
          <w:sz w:val="16"/>
          <w:szCs w:val="16"/>
        </w:rPr>
        <w:t xml:space="preserve"> John Rawls. </w:t>
      </w:r>
      <w:r w:rsidR="003F6ECA" w:rsidRPr="00FD3F65">
        <w:rPr>
          <w:sz w:val="16"/>
          <w:szCs w:val="16"/>
        </w:rPr>
        <w:t xml:space="preserve">“Two Concepts of Rules,” </w:t>
      </w:r>
      <w:r w:rsidRPr="00FD3F65">
        <w:rPr>
          <w:i/>
          <w:sz w:val="16"/>
          <w:szCs w:val="16"/>
        </w:rPr>
        <w:t>The Philosophical Review</w:t>
      </w:r>
      <w:r w:rsidRPr="00FD3F65">
        <w:rPr>
          <w:sz w:val="16"/>
          <w:szCs w:val="16"/>
        </w:rPr>
        <w:t xml:space="preserve"> 64 (1955): 3-32. http://filosofia.dafist.unige.it/dot/filosofiaXXI/rawls.pdf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0E" w:rsidRDefault="00C30C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776C78">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C30C0E" w:rsidP="00C30C0E">
              <w:pPr>
                <w:tabs>
                  <w:tab w:val="center" w:pos="4680"/>
                  <w:tab w:val="right" w:pos="9360"/>
                </w:tabs>
                <w:jc w:val="center"/>
                <w:rPr>
                  <w:rFonts w:eastAsia="Times New Roman" w:cs="Times New Roman"/>
                  <w:sz w:val="36"/>
                  <w:szCs w:val="36"/>
                </w:rPr>
              </w:pPr>
              <w:r>
                <w:rPr>
                  <w:rFonts w:eastAsia="Times New Roman" w:cs="Times New Roman"/>
                  <w:sz w:val="36"/>
                  <w:szCs w:val="36"/>
                </w:rPr>
                <w:t>Must Defend Implementation</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776C78" w:rsidP="00776C78">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0E" w:rsidRDefault="00C30C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C78"/>
    <w:rsid w:val="000336DA"/>
    <w:rsid w:val="000E1706"/>
    <w:rsid w:val="000E3CE5"/>
    <w:rsid w:val="00196578"/>
    <w:rsid w:val="001A7AA0"/>
    <w:rsid w:val="002322CD"/>
    <w:rsid w:val="00267B0A"/>
    <w:rsid w:val="002A71E7"/>
    <w:rsid w:val="002E01CB"/>
    <w:rsid w:val="00324DCC"/>
    <w:rsid w:val="0038690F"/>
    <w:rsid w:val="00386CDF"/>
    <w:rsid w:val="003C79EC"/>
    <w:rsid w:val="003D6B2B"/>
    <w:rsid w:val="003E66AF"/>
    <w:rsid w:val="003F6ECA"/>
    <w:rsid w:val="004845A9"/>
    <w:rsid w:val="004A74F6"/>
    <w:rsid w:val="004D579E"/>
    <w:rsid w:val="004E0E35"/>
    <w:rsid w:val="00543487"/>
    <w:rsid w:val="005A4EBE"/>
    <w:rsid w:val="00600DD4"/>
    <w:rsid w:val="00607A47"/>
    <w:rsid w:val="00627729"/>
    <w:rsid w:val="006829B6"/>
    <w:rsid w:val="007637C5"/>
    <w:rsid w:val="00776C78"/>
    <w:rsid w:val="00791EF0"/>
    <w:rsid w:val="007C26AA"/>
    <w:rsid w:val="007C5A63"/>
    <w:rsid w:val="007F6E44"/>
    <w:rsid w:val="0086561F"/>
    <w:rsid w:val="008B2A64"/>
    <w:rsid w:val="008B2FCB"/>
    <w:rsid w:val="008F613B"/>
    <w:rsid w:val="009F48E5"/>
    <w:rsid w:val="00A101C3"/>
    <w:rsid w:val="00A31427"/>
    <w:rsid w:val="00A471DC"/>
    <w:rsid w:val="00A55D90"/>
    <w:rsid w:val="00AA3B0F"/>
    <w:rsid w:val="00AE3B87"/>
    <w:rsid w:val="00AE727E"/>
    <w:rsid w:val="00B226DC"/>
    <w:rsid w:val="00B2706F"/>
    <w:rsid w:val="00BA1F50"/>
    <w:rsid w:val="00BD057A"/>
    <w:rsid w:val="00C17AEC"/>
    <w:rsid w:val="00C30C0E"/>
    <w:rsid w:val="00C323FF"/>
    <w:rsid w:val="00C63C8A"/>
    <w:rsid w:val="00C67B57"/>
    <w:rsid w:val="00C75038"/>
    <w:rsid w:val="00C95B60"/>
    <w:rsid w:val="00CD4C5B"/>
    <w:rsid w:val="00D10778"/>
    <w:rsid w:val="00D813FF"/>
    <w:rsid w:val="00DA7450"/>
    <w:rsid w:val="00DE5018"/>
    <w:rsid w:val="00E06EE7"/>
    <w:rsid w:val="00E13167"/>
    <w:rsid w:val="00E57C98"/>
    <w:rsid w:val="00E721E1"/>
    <w:rsid w:val="00EA0404"/>
    <w:rsid w:val="00EA6854"/>
    <w:rsid w:val="00EB4E92"/>
    <w:rsid w:val="00ED59C3"/>
    <w:rsid w:val="00F11367"/>
    <w:rsid w:val="00F4186B"/>
    <w:rsid w:val="00F55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07A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7A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7A4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776C78"/>
    <w:rPr>
      <w:color w:val="0000FF" w:themeColor="hyperlink"/>
      <w:u w:val="single"/>
    </w:rPr>
  </w:style>
  <w:style w:type="character" w:styleId="FootnoteReference">
    <w:name w:val="footnote reference"/>
    <w:basedOn w:val="DefaultParagraphFont"/>
    <w:uiPriority w:val="99"/>
    <w:unhideWhenUsed/>
    <w:rsid w:val="00776C78"/>
    <w:rPr>
      <w:vertAlign w:val="superscript"/>
    </w:rPr>
  </w:style>
  <w:style w:type="paragraph" w:styleId="FootnoteText">
    <w:name w:val="footnote text"/>
    <w:basedOn w:val="Normal"/>
    <w:link w:val="FootnoteTextChar"/>
    <w:uiPriority w:val="99"/>
    <w:semiHidden/>
    <w:unhideWhenUsed/>
    <w:rsid w:val="00BA1F50"/>
    <w:rPr>
      <w:sz w:val="20"/>
      <w:szCs w:val="20"/>
    </w:rPr>
  </w:style>
  <w:style w:type="character" w:customStyle="1" w:styleId="FootnoteTextChar">
    <w:name w:val="Footnote Text Char"/>
    <w:basedOn w:val="DefaultParagraphFont"/>
    <w:link w:val="FootnoteText"/>
    <w:uiPriority w:val="99"/>
    <w:semiHidden/>
    <w:rsid w:val="00BA1F50"/>
    <w:rPr>
      <w:sz w:val="20"/>
      <w:szCs w:val="20"/>
      <w:lang w:val="en-US"/>
    </w:rPr>
  </w:style>
  <w:style w:type="character" w:customStyle="1" w:styleId="Heading1Char">
    <w:name w:val="Heading 1 Char"/>
    <w:basedOn w:val="DefaultParagraphFont"/>
    <w:link w:val="Heading1"/>
    <w:uiPriority w:val="9"/>
    <w:rsid w:val="00607A47"/>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07A47"/>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607A47"/>
    <w:rPr>
      <w:rFonts w:asciiTheme="majorHAnsi" w:eastAsiaTheme="majorEastAsia" w:hAnsiTheme="majorHAnsi" w:cstheme="majorBidi"/>
      <w:b/>
      <w:bCs/>
      <w:color w:val="4F81BD" w:themeColor="accent1"/>
      <w:lang w:val="en-US"/>
    </w:rPr>
  </w:style>
  <w:style w:type="paragraph" w:styleId="DocumentMap">
    <w:name w:val="Document Map"/>
    <w:basedOn w:val="Normal"/>
    <w:link w:val="DocumentMapChar"/>
    <w:uiPriority w:val="99"/>
    <w:semiHidden/>
    <w:unhideWhenUsed/>
    <w:rsid w:val="00B2706F"/>
    <w:rPr>
      <w:rFonts w:ascii="Tahoma" w:hAnsi="Tahoma" w:cs="Tahoma"/>
      <w:sz w:val="16"/>
      <w:szCs w:val="16"/>
    </w:rPr>
  </w:style>
  <w:style w:type="character" w:customStyle="1" w:styleId="DocumentMapChar">
    <w:name w:val="Document Map Char"/>
    <w:basedOn w:val="DefaultParagraphFont"/>
    <w:link w:val="DocumentMap"/>
    <w:uiPriority w:val="99"/>
    <w:semiHidden/>
    <w:rsid w:val="00B2706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07A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7A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7A4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776C78"/>
    <w:rPr>
      <w:color w:val="0000FF" w:themeColor="hyperlink"/>
      <w:u w:val="single"/>
    </w:rPr>
  </w:style>
  <w:style w:type="character" w:styleId="FootnoteReference">
    <w:name w:val="footnote reference"/>
    <w:basedOn w:val="DefaultParagraphFont"/>
    <w:uiPriority w:val="99"/>
    <w:unhideWhenUsed/>
    <w:rsid w:val="00776C78"/>
    <w:rPr>
      <w:vertAlign w:val="superscript"/>
    </w:rPr>
  </w:style>
  <w:style w:type="paragraph" w:styleId="FootnoteText">
    <w:name w:val="footnote text"/>
    <w:basedOn w:val="Normal"/>
    <w:link w:val="FootnoteTextChar"/>
    <w:uiPriority w:val="99"/>
    <w:semiHidden/>
    <w:unhideWhenUsed/>
    <w:rsid w:val="00BA1F50"/>
    <w:rPr>
      <w:sz w:val="20"/>
      <w:szCs w:val="20"/>
    </w:rPr>
  </w:style>
  <w:style w:type="character" w:customStyle="1" w:styleId="FootnoteTextChar">
    <w:name w:val="Footnote Text Char"/>
    <w:basedOn w:val="DefaultParagraphFont"/>
    <w:link w:val="FootnoteText"/>
    <w:uiPriority w:val="99"/>
    <w:semiHidden/>
    <w:rsid w:val="00BA1F50"/>
    <w:rPr>
      <w:sz w:val="20"/>
      <w:szCs w:val="20"/>
      <w:lang w:val="en-US"/>
    </w:rPr>
  </w:style>
  <w:style w:type="character" w:customStyle="1" w:styleId="Heading1Char">
    <w:name w:val="Heading 1 Char"/>
    <w:basedOn w:val="DefaultParagraphFont"/>
    <w:link w:val="Heading1"/>
    <w:uiPriority w:val="9"/>
    <w:rsid w:val="00607A47"/>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07A47"/>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607A47"/>
    <w:rPr>
      <w:rFonts w:asciiTheme="majorHAnsi" w:eastAsiaTheme="majorEastAsia" w:hAnsiTheme="majorHAnsi" w:cstheme="majorBidi"/>
      <w:b/>
      <w:bCs/>
      <w:color w:val="4F81BD" w:themeColor="accent1"/>
      <w:lang w:val="en-US"/>
    </w:rPr>
  </w:style>
  <w:style w:type="paragraph" w:styleId="DocumentMap">
    <w:name w:val="Document Map"/>
    <w:basedOn w:val="Normal"/>
    <w:link w:val="DocumentMapChar"/>
    <w:uiPriority w:val="99"/>
    <w:semiHidden/>
    <w:unhideWhenUsed/>
    <w:rsid w:val="00B2706F"/>
    <w:rPr>
      <w:rFonts w:ascii="Tahoma" w:hAnsi="Tahoma" w:cs="Tahoma"/>
      <w:sz w:val="16"/>
      <w:szCs w:val="16"/>
    </w:rPr>
  </w:style>
  <w:style w:type="character" w:customStyle="1" w:styleId="DocumentMapChar">
    <w:name w:val="Document Map Char"/>
    <w:basedOn w:val="DefaultParagraphFont"/>
    <w:link w:val="DocumentMap"/>
    <w:uiPriority w:val="99"/>
    <w:semiHidden/>
    <w:rsid w:val="00B2706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16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bjs.gov/content/justsys.cfm" TargetMode="External"/><Relationship Id="rId2" Type="http://schemas.openxmlformats.org/officeDocument/2006/relationships/hyperlink" Target="http://www.ditext.com/prichard/mistake.html" TargetMode="External"/><Relationship Id="rId1" Type="http://schemas.openxmlformats.org/officeDocument/2006/relationships/hyperlink" Target="http://www.cedadebate.org/forum/index.php?action=dlattach;topic=2381.0;attach=664" TargetMode="External"/><Relationship Id="rId4" Type="http://schemas.openxmlformats.org/officeDocument/2006/relationships/hyperlink" Target="http://www.cedadebate.org/forum/index.php?action=dlattach;topic=2381.0;attach=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EC81A6-127F-486B-842B-A485B5E9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6705</Words>
  <Characters>36007</Characters>
  <Application>Microsoft Office Word</Application>
  <DocSecurity>0</DocSecurity>
  <Lines>413</Lines>
  <Paragraphs>59</Paragraphs>
  <ScaleCrop>false</ScaleCrop>
  <HeadingPairs>
    <vt:vector size="2" baseType="variant">
      <vt:variant>
        <vt:lpstr>Title</vt:lpstr>
      </vt:variant>
      <vt:variant>
        <vt:i4>1</vt:i4>
      </vt:variant>
    </vt:vector>
  </HeadingPairs>
  <TitlesOfParts>
    <vt:vector size="1" baseType="lpstr">
      <vt:lpstr>T - Value</vt:lpstr>
    </vt:vector>
  </TitlesOfParts>
  <Company>Hewlett-Packard</Company>
  <LinksUpToDate>false</LinksUpToDate>
  <CharactersWithSpaces>42653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 Defend Implementation</dc:title>
  <dc:creator>Jacob Nails</dc:creator>
  <cp:lastModifiedBy>Jacob Nails</cp:lastModifiedBy>
  <cp:revision>3</cp:revision>
  <dcterms:created xsi:type="dcterms:W3CDTF">2013-05-02T23:24:00Z</dcterms:created>
  <dcterms:modified xsi:type="dcterms:W3CDTF">2013-05-02T23:24:00Z</dcterms:modified>
</cp:coreProperties>
</file>